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05" w:rsidRPr="00905DC1" w:rsidRDefault="005D0A48" w:rsidP="003B6A05">
      <w:pPr>
        <w:pStyle w:val="Heading1"/>
        <w:spacing w:before="0" w:after="120" w:line="240" w:lineRule="auto"/>
        <w:rPr>
          <w:rFonts w:ascii="Arial" w:hAnsi="Arial" w:cs="Arial"/>
        </w:rPr>
      </w:pPr>
      <w:bookmarkStart w:id="0" w:name="_Toc428283524"/>
      <w:bookmarkStart w:id="1" w:name="_Toc431911160"/>
      <w:r>
        <w:rPr>
          <w:rFonts w:ascii="Arial" w:hAnsi="Arial" w:cs="Arial"/>
        </w:rPr>
        <w:t xml:space="preserve">APPENDIX 2 - </w:t>
      </w:r>
      <w:r w:rsidR="003B6A05" w:rsidRPr="00905DC1">
        <w:rPr>
          <w:rFonts w:ascii="Arial" w:hAnsi="Arial" w:cs="Arial"/>
        </w:rPr>
        <w:t>National Context</w:t>
      </w:r>
      <w:bookmarkEnd w:id="0"/>
      <w:bookmarkEnd w:id="1"/>
    </w:p>
    <w:p w:rsidR="003B6A05" w:rsidRPr="00B52923" w:rsidRDefault="003B6A05" w:rsidP="003B6A05">
      <w:pPr>
        <w:autoSpaceDE w:val="0"/>
        <w:autoSpaceDN w:val="0"/>
        <w:adjustRightInd w:val="0"/>
        <w:spacing w:after="120" w:line="240" w:lineRule="auto"/>
        <w:rPr>
          <w:color w:val="3D3C3B"/>
          <w:sz w:val="22"/>
          <w:szCs w:val="22"/>
        </w:rPr>
      </w:pPr>
      <w:r>
        <w:rPr>
          <w:color w:val="000000"/>
          <w:sz w:val="22"/>
          <w:szCs w:val="22"/>
        </w:rPr>
        <w:t xml:space="preserve">The development of </w:t>
      </w:r>
      <w:r w:rsidRPr="00B52923">
        <w:rPr>
          <w:color w:val="000000"/>
          <w:sz w:val="22"/>
          <w:szCs w:val="22"/>
        </w:rPr>
        <w:t xml:space="preserve">Warwickshire’s </w:t>
      </w:r>
      <w:r>
        <w:rPr>
          <w:color w:val="000000"/>
          <w:sz w:val="22"/>
          <w:szCs w:val="22"/>
        </w:rPr>
        <w:t>Re-</w:t>
      </w:r>
      <w:proofErr w:type="spellStart"/>
      <w:r>
        <w:rPr>
          <w:color w:val="000000"/>
          <w:sz w:val="22"/>
          <w:szCs w:val="22"/>
        </w:rPr>
        <w:t>freshed</w:t>
      </w:r>
      <w:proofErr w:type="spellEnd"/>
      <w:r>
        <w:rPr>
          <w:color w:val="000000"/>
          <w:sz w:val="22"/>
          <w:szCs w:val="22"/>
        </w:rPr>
        <w:t xml:space="preserve"> </w:t>
      </w:r>
      <w:r w:rsidRPr="00B52923">
        <w:rPr>
          <w:color w:val="000000"/>
          <w:sz w:val="22"/>
          <w:szCs w:val="22"/>
        </w:rPr>
        <w:t xml:space="preserve">Living </w:t>
      </w:r>
      <w:r w:rsidR="00BD02E0">
        <w:rPr>
          <w:color w:val="000000"/>
          <w:sz w:val="22"/>
          <w:szCs w:val="22"/>
        </w:rPr>
        <w:t xml:space="preserve">Well with Dementia Strategy 2016-2019 </w:t>
      </w:r>
      <w:bookmarkStart w:id="2" w:name="_GoBack"/>
      <w:bookmarkEnd w:id="2"/>
      <w:r>
        <w:rPr>
          <w:color w:val="000000"/>
          <w:sz w:val="22"/>
          <w:szCs w:val="22"/>
        </w:rPr>
        <w:t>is shaped by</w:t>
      </w:r>
      <w:r w:rsidRPr="00B52923">
        <w:rPr>
          <w:color w:val="000000"/>
          <w:sz w:val="22"/>
          <w:szCs w:val="22"/>
        </w:rPr>
        <w:t xml:space="preserve"> the following national </w:t>
      </w:r>
      <w:r>
        <w:rPr>
          <w:color w:val="000000"/>
          <w:sz w:val="22"/>
          <w:szCs w:val="22"/>
        </w:rPr>
        <w:t>policy framework</w:t>
      </w:r>
      <w:r w:rsidRPr="00B52923">
        <w:rPr>
          <w:color w:val="000000"/>
          <w:sz w:val="22"/>
          <w:szCs w:val="22"/>
        </w:rPr>
        <w:t xml:space="preserve">: </w:t>
      </w:r>
    </w:p>
    <w:p w:rsidR="003B6A05" w:rsidRPr="00284922" w:rsidRDefault="003B6A05" w:rsidP="003B6A05">
      <w:pPr>
        <w:autoSpaceDE w:val="0"/>
        <w:autoSpaceDN w:val="0"/>
        <w:adjustRightInd w:val="0"/>
        <w:spacing w:after="120" w:line="240" w:lineRule="auto"/>
        <w:rPr>
          <w:color w:val="3D3C3B"/>
          <w:sz w:val="22"/>
          <w:szCs w:val="22"/>
        </w:rPr>
      </w:pPr>
    </w:p>
    <w:p w:rsidR="003B6A05" w:rsidRPr="00E21037" w:rsidRDefault="003B6A05" w:rsidP="003B6A05">
      <w:pPr>
        <w:spacing w:after="120" w:line="240" w:lineRule="auto"/>
        <w:rPr>
          <w:b/>
          <w:sz w:val="22"/>
          <w:szCs w:val="22"/>
        </w:rPr>
      </w:pPr>
      <w:bookmarkStart w:id="3" w:name="_Toc398204317"/>
      <w:bookmarkStart w:id="4" w:name="_Toc398645633"/>
      <w:bookmarkStart w:id="5" w:name="_Toc399745110"/>
      <w:r w:rsidRPr="00E21037">
        <w:rPr>
          <w:b/>
          <w:sz w:val="22"/>
          <w:szCs w:val="22"/>
        </w:rPr>
        <w:t xml:space="preserve">Prime Ministers Challenge on Dementia </w:t>
      </w:r>
      <w:proofErr w:type="gramStart"/>
      <w:r w:rsidRPr="00E21037">
        <w:rPr>
          <w:b/>
          <w:sz w:val="22"/>
          <w:szCs w:val="22"/>
        </w:rPr>
        <w:t>2012</w:t>
      </w:r>
      <w:r>
        <w:rPr>
          <w:rStyle w:val="FootnoteReference"/>
          <w:b/>
          <w:sz w:val="22"/>
          <w:szCs w:val="22"/>
        </w:rPr>
        <w:footnoteReference w:id="1"/>
      </w:r>
      <w:r w:rsidRPr="00E21037">
        <w:rPr>
          <w:b/>
          <w:sz w:val="22"/>
          <w:szCs w:val="22"/>
        </w:rPr>
        <w:t>,</w:t>
      </w:r>
      <w:proofErr w:type="gramEnd"/>
      <w:r w:rsidRPr="00E21037">
        <w:rPr>
          <w:b/>
          <w:sz w:val="22"/>
          <w:szCs w:val="22"/>
        </w:rPr>
        <w:t xml:space="preserve"> and Prime Ministers Challenge on Dementia 2020 </w:t>
      </w:r>
      <w:bookmarkEnd w:id="3"/>
      <w:bookmarkEnd w:id="4"/>
      <w:bookmarkEnd w:id="5"/>
    </w:p>
    <w:p w:rsidR="003B6A05" w:rsidRPr="00B52923" w:rsidRDefault="003B6A05" w:rsidP="003B6A05">
      <w:pPr>
        <w:autoSpaceDE w:val="0"/>
        <w:autoSpaceDN w:val="0"/>
        <w:adjustRightInd w:val="0"/>
        <w:spacing w:after="120" w:line="240" w:lineRule="auto"/>
        <w:rPr>
          <w:sz w:val="22"/>
          <w:szCs w:val="22"/>
        </w:rPr>
      </w:pPr>
      <w:r w:rsidRPr="00B52923">
        <w:rPr>
          <w:sz w:val="22"/>
          <w:szCs w:val="22"/>
        </w:rPr>
        <w:t xml:space="preserve">Published in March 2012, the Prime Minister’s Challenge on Dementia sets out an ambitious programme of work to deliver major improvements in dementia care and research. </w:t>
      </w:r>
    </w:p>
    <w:p w:rsidR="003B6A05" w:rsidRPr="00B52923" w:rsidRDefault="003B6A05" w:rsidP="003B6A05">
      <w:pPr>
        <w:autoSpaceDE w:val="0"/>
        <w:autoSpaceDN w:val="0"/>
        <w:adjustRightInd w:val="0"/>
        <w:spacing w:after="120" w:line="240" w:lineRule="auto"/>
        <w:rPr>
          <w:sz w:val="22"/>
          <w:szCs w:val="22"/>
        </w:rPr>
      </w:pPr>
      <w:r>
        <w:rPr>
          <w:sz w:val="22"/>
          <w:szCs w:val="22"/>
        </w:rPr>
        <w:t xml:space="preserve">This programme of work </w:t>
      </w:r>
      <w:r w:rsidRPr="00B52923">
        <w:rPr>
          <w:sz w:val="22"/>
          <w:szCs w:val="22"/>
        </w:rPr>
        <w:t xml:space="preserve">includes increasing resources for research into dementia, and creating ‘Dementia Friends’ and ‘Dementia Friendly Communities,’ to better equip society to help people with dementia to live well. </w:t>
      </w:r>
    </w:p>
    <w:p w:rsidR="003B6A05" w:rsidRDefault="003B6A05" w:rsidP="003B6A05">
      <w:pPr>
        <w:spacing w:after="120" w:line="240" w:lineRule="auto"/>
        <w:rPr>
          <w:sz w:val="22"/>
          <w:szCs w:val="22"/>
        </w:rPr>
      </w:pPr>
      <w:bookmarkStart w:id="6" w:name="_Toc398204318"/>
      <w:bookmarkStart w:id="7" w:name="_Toc398645634"/>
      <w:bookmarkStart w:id="8" w:name="_Toc399745111"/>
      <w:r w:rsidRPr="00F20CC6">
        <w:rPr>
          <w:sz w:val="22"/>
          <w:szCs w:val="22"/>
        </w:rPr>
        <w:t>Th</w:t>
      </w:r>
      <w:r>
        <w:rPr>
          <w:sz w:val="22"/>
          <w:szCs w:val="22"/>
        </w:rPr>
        <w:t xml:space="preserve">e 2012 programme of action was updated in 2015 by the </w:t>
      </w:r>
      <w:hyperlink r:id="rId9" w:history="1">
        <w:proofErr w:type="spellStart"/>
        <w:r w:rsidRPr="00F20CC6">
          <w:rPr>
            <w:rStyle w:val="Hyperlink"/>
            <w:sz w:val="22"/>
            <w:szCs w:val="22"/>
          </w:rPr>
          <w:t>The</w:t>
        </w:r>
        <w:proofErr w:type="spellEnd"/>
        <w:r w:rsidRPr="00F20CC6">
          <w:rPr>
            <w:rStyle w:val="Hyperlink"/>
            <w:sz w:val="22"/>
            <w:szCs w:val="22"/>
          </w:rPr>
          <w:t xml:space="preserve"> Prime Ministers Challenge on Dementia 2020</w:t>
        </w:r>
      </w:hyperlink>
      <w:r>
        <w:rPr>
          <w:rStyle w:val="FootnoteReference"/>
          <w:color w:val="0000FF" w:themeColor="hyperlink"/>
          <w:sz w:val="22"/>
          <w:szCs w:val="22"/>
          <w:u w:val="single"/>
        </w:rPr>
        <w:footnoteReference w:id="2"/>
      </w:r>
      <w:r>
        <w:rPr>
          <w:sz w:val="22"/>
          <w:szCs w:val="22"/>
        </w:rPr>
        <w:t>. It re-stated that the challenge of dementia is a personal priority for the Prime Minister, David Cameron, but also identified further targets around research with a commitment to spend £60 million each year on dementia research.</w:t>
      </w:r>
    </w:p>
    <w:p w:rsidR="003B6A05" w:rsidRPr="00B52923" w:rsidRDefault="003B6A05" w:rsidP="003B6A05">
      <w:pPr>
        <w:spacing w:after="120" w:line="240" w:lineRule="auto"/>
        <w:rPr>
          <w:sz w:val="22"/>
          <w:szCs w:val="22"/>
        </w:rPr>
      </w:pPr>
    </w:p>
    <w:p w:rsidR="003B6A05" w:rsidRPr="00B52923" w:rsidRDefault="003B6A05" w:rsidP="003B6A05">
      <w:pPr>
        <w:spacing w:after="120" w:line="240" w:lineRule="auto"/>
        <w:rPr>
          <w:b/>
          <w:sz w:val="22"/>
          <w:szCs w:val="22"/>
        </w:rPr>
      </w:pPr>
      <w:r w:rsidRPr="00B52923">
        <w:rPr>
          <w:b/>
          <w:sz w:val="22"/>
          <w:szCs w:val="22"/>
        </w:rPr>
        <w:t xml:space="preserve">Better Care Programme </w:t>
      </w:r>
      <w:bookmarkEnd w:id="6"/>
      <w:bookmarkEnd w:id="7"/>
      <w:r w:rsidRPr="00B52923">
        <w:rPr>
          <w:b/>
          <w:sz w:val="22"/>
          <w:szCs w:val="22"/>
        </w:rPr>
        <w:t>2013</w:t>
      </w:r>
      <w:bookmarkEnd w:id="8"/>
    </w:p>
    <w:p w:rsidR="003B6A05" w:rsidRPr="006D140D" w:rsidRDefault="003B6A05" w:rsidP="003B6A05">
      <w:pPr>
        <w:shd w:val="clear" w:color="auto" w:fill="FFFFFF"/>
        <w:spacing w:after="120" w:line="240" w:lineRule="auto"/>
        <w:rPr>
          <w:rFonts w:eastAsia="Times New Roman"/>
          <w:sz w:val="22"/>
          <w:szCs w:val="22"/>
          <w:lang w:eastAsia="en-GB"/>
        </w:rPr>
      </w:pPr>
      <w:r w:rsidRPr="006D140D">
        <w:rPr>
          <w:rFonts w:eastAsia="Times New Roman"/>
          <w:sz w:val="22"/>
          <w:szCs w:val="22"/>
          <w:shd w:val="clear" w:color="auto" w:fill="FFFFFF"/>
          <w:lang w:eastAsia="en-GB"/>
        </w:rPr>
        <w:t xml:space="preserve">The £5.3bn </w:t>
      </w:r>
      <w:hyperlink r:id="rId10" w:history="1">
        <w:r w:rsidRPr="00F20CC6">
          <w:rPr>
            <w:rStyle w:val="Hyperlink"/>
            <w:rFonts w:eastAsia="Times New Roman"/>
            <w:sz w:val="22"/>
            <w:szCs w:val="22"/>
            <w:shd w:val="clear" w:color="auto" w:fill="FFFFFF"/>
            <w:lang w:eastAsia="en-GB"/>
          </w:rPr>
          <w:t>Better Care Fund</w:t>
        </w:r>
      </w:hyperlink>
      <w:r>
        <w:rPr>
          <w:rFonts w:eastAsia="Times New Roman"/>
          <w:sz w:val="22"/>
          <w:szCs w:val="22"/>
          <w:shd w:val="clear" w:color="auto" w:fill="FFFFFF"/>
          <w:lang w:eastAsia="en-GB"/>
        </w:rPr>
        <w:t xml:space="preserve"> (formerly the Integration </w:t>
      </w:r>
      <w:r w:rsidRPr="006D140D">
        <w:rPr>
          <w:rFonts w:eastAsia="Times New Roman"/>
          <w:sz w:val="22"/>
          <w:szCs w:val="22"/>
          <w:shd w:val="clear" w:color="auto" w:fill="FFFFFF"/>
          <w:lang w:eastAsia="en-GB"/>
        </w:rPr>
        <w:t>Transformation Fund) was ann</w:t>
      </w:r>
      <w:r>
        <w:rPr>
          <w:rFonts w:eastAsia="Times New Roman"/>
          <w:sz w:val="22"/>
          <w:szCs w:val="22"/>
          <w:shd w:val="clear" w:color="auto" w:fill="FFFFFF"/>
          <w:lang w:eastAsia="en-GB"/>
        </w:rPr>
        <w:t>ounced by the Government in June 2013</w:t>
      </w:r>
      <w:r w:rsidRPr="006D140D">
        <w:rPr>
          <w:rFonts w:eastAsia="Times New Roman"/>
          <w:sz w:val="22"/>
          <w:szCs w:val="22"/>
          <w:shd w:val="clear" w:color="auto" w:fill="FFFFFF"/>
          <w:lang w:eastAsia="en-GB"/>
        </w:rPr>
        <w:t xml:space="preserve">, </w:t>
      </w:r>
      <w:r>
        <w:rPr>
          <w:rStyle w:val="A7"/>
        </w:rPr>
        <w:t>to accelerate integration between health and social care to assist in creating a health and care system that is sustainable in the longer term</w:t>
      </w:r>
      <w:r w:rsidRPr="006D140D">
        <w:rPr>
          <w:rFonts w:eastAsia="Times New Roman"/>
          <w:sz w:val="22"/>
          <w:szCs w:val="22"/>
          <w:shd w:val="clear" w:color="auto" w:fill="FFFFFF"/>
          <w:lang w:eastAsia="en-GB"/>
        </w:rPr>
        <w:t xml:space="preserve">. The Better Care Fund is one of the most ambitious ever programmes across </w:t>
      </w:r>
      <w:r>
        <w:rPr>
          <w:rFonts w:eastAsia="Times New Roman"/>
          <w:sz w:val="22"/>
          <w:szCs w:val="22"/>
          <w:shd w:val="clear" w:color="auto" w:fill="FFFFFF"/>
          <w:lang w:eastAsia="en-GB"/>
        </w:rPr>
        <w:t>the NHS and Local Government creating</w:t>
      </w:r>
      <w:r w:rsidRPr="006D140D">
        <w:rPr>
          <w:rFonts w:eastAsia="Times New Roman"/>
          <w:sz w:val="22"/>
          <w:szCs w:val="22"/>
          <w:shd w:val="clear" w:color="auto" w:fill="FFFFFF"/>
          <w:lang w:eastAsia="en-GB"/>
        </w:rPr>
        <w:t xml:space="preserve"> a local single pooled budget to</w:t>
      </w:r>
      <w:r>
        <w:rPr>
          <w:rFonts w:eastAsia="Times New Roman"/>
          <w:sz w:val="22"/>
          <w:szCs w:val="22"/>
          <w:shd w:val="clear" w:color="auto" w:fill="FFFFFF"/>
          <w:lang w:eastAsia="en-GB"/>
        </w:rPr>
        <w:t xml:space="preserve"> incentivise joint work </w:t>
      </w:r>
      <w:r w:rsidRPr="006D140D">
        <w:rPr>
          <w:rFonts w:eastAsia="Times New Roman"/>
          <w:sz w:val="22"/>
          <w:szCs w:val="22"/>
          <w:shd w:val="clear" w:color="auto" w:fill="FFFFFF"/>
          <w:lang w:eastAsia="en-GB"/>
        </w:rPr>
        <w:t xml:space="preserve">around </w:t>
      </w:r>
      <w:r>
        <w:rPr>
          <w:rFonts w:eastAsia="Times New Roman"/>
          <w:sz w:val="22"/>
          <w:szCs w:val="22"/>
          <w:shd w:val="clear" w:color="auto" w:fill="FFFFFF"/>
          <w:lang w:eastAsia="en-GB"/>
        </w:rPr>
        <w:t xml:space="preserve">supporting </w:t>
      </w:r>
      <w:r w:rsidRPr="006D140D">
        <w:rPr>
          <w:rFonts w:eastAsia="Times New Roman"/>
          <w:sz w:val="22"/>
          <w:szCs w:val="22"/>
          <w:shd w:val="clear" w:color="auto" w:fill="FFFFFF"/>
          <w:lang w:eastAsia="en-GB"/>
        </w:rPr>
        <w:t xml:space="preserve">people, placing their well-being as the focus of </w:t>
      </w:r>
      <w:r>
        <w:rPr>
          <w:rFonts w:eastAsia="Times New Roman"/>
          <w:sz w:val="22"/>
          <w:szCs w:val="22"/>
          <w:shd w:val="clear" w:color="auto" w:fill="FFFFFF"/>
          <w:lang w:eastAsia="en-GB"/>
        </w:rPr>
        <w:t>care delivery</w:t>
      </w:r>
      <w:r w:rsidRPr="006D140D">
        <w:rPr>
          <w:rFonts w:eastAsia="Times New Roman"/>
          <w:sz w:val="22"/>
          <w:szCs w:val="22"/>
          <w:shd w:val="clear" w:color="auto" w:fill="FFFFFF"/>
          <w:lang w:eastAsia="en-GB"/>
        </w:rPr>
        <w:t>.</w:t>
      </w:r>
    </w:p>
    <w:p w:rsidR="003B6A05" w:rsidRPr="006D140D" w:rsidRDefault="003B6A05" w:rsidP="003B6A05">
      <w:pPr>
        <w:shd w:val="clear" w:color="auto" w:fill="FFFFFF"/>
        <w:spacing w:after="120" w:line="240" w:lineRule="auto"/>
        <w:rPr>
          <w:rFonts w:eastAsia="Times New Roman"/>
          <w:sz w:val="22"/>
          <w:szCs w:val="22"/>
          <w:lang w:eastAsia="en-GB"/>
        </w:rPr>
      </w:pPr>
      <w:r>
        <w:rPr>
          <w:rFonts w:eastAsia="Times New Roman"/>
          <w:sz w:val="22"/>
          <w:szCs w:val="22"/>
          <w:shd w:val="clear" w:color="auto" w:fill="FFFFFF"/>
          <w:lang w:eastAsia="en-GB"/>
        </w:rPr>
        <w:t>WCC</w:t>
      </w:r>
      <w:r w:rsidRPr="006D140D">
        <w:rPr>
          <w:rFonts w:eastAsia="Times New Roman"/>
          <w:sz w:val="22"/>
          <w:szCs w:val="22"/>
          <w:shd w:val="clear" w:color="auto" w:fill="FFFFFF"/>
          <w:lang w:eastAsia="en-GB"/>
        </w:rPr>
        <w:t xml:space="preserve"> is currently implementing the Better Care Fund, locally known at Warwickshire Cares Better Together, which will</w:t>
      </w:r>
      <w:r w:rsidRPr="006D140D">
        <w:rPr>
          <w:rFonts w:eastAsia="Times New Roman"/>
          <w:sz w:val="22"/>
          <w:szCs w:val="22"/>
          <w:shd w:val="clear" w:color="auto" w:fill="FFFFFF"/>
          <w:lang w:val="en" w:eastAsia="en-GB"/>
        </w:rPr>
        <w:t xml:space="preserve"> deliver the following strategic </w:t>
      </w:r>
      <w:r>
        <w:rPr>
          <w:rFonts w:eastAsia="Times New Roman"/>
          <w:sz w:val="22"/>
          <w:szCs w:val="22"/>
          <w:shd w:val="clear" w:color="auto" w:fill="FFFFFF"/>
          <w:lang w:val="en" w:eastAsia="en-GB"/>
        </w:rPr>
        <w:t>outcomes;</w:t>
      </w:r>
    </w:p>
    <w:p w:rsidR="003B6A05" w:rsidRPr="006D140D" w:rsidRDefault="003B6A05" w:rsidP="003B6A05">
      <w:pPr>
        <w:pStyle w:val="ListParagraph"/>
        <w:numPr>
          <w:ilvl w:val="0"/>
          <w:numId w:val="2"/>
        </w:numPr>
        <w:spacing w:after="120" w:line="240" w:lineRule="auto"/>
        <w:rPr>
          <w:rFonts w:eastAsia="Times New Roman"/>
          <w:sz w:val="22"/>
          <w:szCs w:val="22"/>
          <w:lang w:eastAsia="en-GB"/>
        </w:rPr>
      </w:pPr>
      <w:r w:rsidRPr="006D140D">
        <w:rPr>
          <w:rFonts w:eastAsia="Times New Roman"/>
          <w:sz w:val="22"/>
          <w:szCs w:val="22"/>
          <w:shd w:val="clear" w:color="auto" w:fill="FFFFFF"/>
          <w:lang w:eastAsia="en-GB"/>
        </w:rPr>
        <w:t xml:space="preserve">People are </w:t>
      </w:r>
      <w:r w:rsidRPr="00E55C70">
        <w:rPr>
          <w:color w:val="353535"/>
          <w:sz w:val="22"/>
          <w:szCs w:val="22"/>
        </w:rPr>
        <w:t>helped</w:t>
      </w:r>
      <w:r w:rsidRPr="006D140D">
        <w:rPr>
          <w:rFonts w:eastAsia="Times New Roman"/>
          <w:sz w:val="22"/>
          <w:szCs w:val="22"/>
          <w:shd w:val="clear" w:color="auto" w:fill="FFFFFF"/>
          <w:lang w:eastAsia="en-GB"/>
        </w:rPr>
        <w:t xml:space="preserve"> to remain healthy and independent;</w:t>
      </w:r>
    </w:p>
    <w:p w:rsidR="003B6A05" w:rsidRPr="0098386A" w:rsidRDefault="003B6A05" w:rsidP="003B6A05">
      <w:pPr>
        <w:pStyle w:val="ListParagraph"/>
        <w:numPr>
          <w:ilvl w:val="0"/>
          <w:numId w:val="2"/>
        </w:numPr>
        <w:spacing w:after="120" w:line="240" w:lineRule="auto"/>
        <w:rPr>
          <w:rFonts w:eastAsia="Times New Roman"/>
          <w:sz w:val="22"/>
          <w:szCs w:val="22"/>
          <w:lang w:eastAsia="en-GB"/>
        </w:rPr>
      </w:pPr>
      <w:r w:rsidRPr="006D140D">
        <w:rPr>
          <w:rFonts w:eastAsia="Times New Roman"/>
          <w:sz w:val="22"/>
          <w:szCs w:val="22"/>
          <w:shd w:val="clear" w:color="auto" w:fill="FFFFFF"/>
          <w:lang w:eastAsia="en-GB"/>
        </w:rPr>
        <w:t xml:space="preserve">People are </w:t>
      </w:r>
      <w:r w:rsidRPr="00E55C70">
        <w:rPr>
          <w:color w:val="353535"/>
          <w:sz w:val="22"/>
          <w:szCs w:val="22"/>
        </w:rPr>
        <w:t>empowered</w:t>
      </w:r>
      <w:r w:rsidRPr="006D140D">
        <w:rPr>
          <w:rFonts w:eastAsia="Times New Roman"/>
          <w:sz w:val="22"/>
          <w:szCs w:val="22"/>
          <w:shd w:val="clear" w:color="auto" w:fill="FFFFFF"/>
          <w:lang w:eastAsia="en-GB"/>
        </w:rPr>
        <w:t xml:space="preserve"> to play an active role in </w:t>
      </w:r>
      <w:r>
        <w:rPr>
          <w:rFonts w:eastAsia="Times New Roman"/>
          <w:sz w:val="22"/>
          <w:szCs w:val="22"/>
          <w:shd w:val="clear" w:color="auto" w:fill="FFFFFF"/>
          <w:lang w:eastAsia="en-GB"/>
        </w:rPr>
        <w:t>managing their own care and the</w:t>
      </w:r>
    </w:p>
    <w:p w:rsidR="003B6A05" w:rsidRPr="006D140D" w:rsidRDefault="003B6A05" w:rsidP="003B6A05">
      <w:pPr>
        <w:pStyle w:val="ListParagraph"/>
        <w:numPr>
          <w:ilvl w:val="0"/>
          <w:numId w:val="2"/>
        </w:numPr>
        <w:spacing w:after="120" w:line="240" w:lineRule="auto"/>
        <w:rPr>
          <w:rFonts w:eastAsia="Times New Roman"/>
          <w:sz w:val="22"/>
          <w:szCs w:val="22"/>
          <w:lang w:eastAsia="en-GB"/>
        </w:rPr>
      </w:pPr>
      <w:r w:rsidRPr="006D140D">
        <w:rPr>
          <w:rFonts w:eastAsia="Times New Roman"/>
          <w:sz w:val="22"/>
          <w:szCs w:val="22"/>
          <w:shd w:val="clear" w:color="auto" w:fill="FFFFFF"/>
          <w:lang w:eastAsia="en-GB"/>
        </w:rPr>
        <w:t>care they receive;</w:t>
      </w:r>
    </w:p>
    <w:p w:rsidR="003B6A05" w:rsidRPr="00AF61C0" w:rsidRDefault="003B6A05" w:rsidP="003B6A05">
      <w:pPr>
        <w:pStyle w:val="ListParagraph"/>
        <w:numPr>
          <w:ilvl w:val="0"/>
          <w:numId w:val="2"/>
        </w:numPr>
        <w:spacing w:after="120" w:line="240" w:lineRule="auto"/>
        <w:rPr>
          <w:sz w:val="22"/>
          <w:szCs w:val="22"/>
        </w:rPr>
      </w:pPr>
      <w:r w:rsidRPr="006D140D">
        <w:rPr>
          <w:rFonts w:eastAsia="Times New Roman"/>
          <w:sz w:val="22"/>
          <w:szCs w:val="22"/>
          <w:shd w:val="clear" w:color="auto" w:fill="FFFFFF"/>
          <w:lang w:eastAsia="en-GB"/>
        </w:rPr>
        <w:t>People get the right service at the right time and i</w:t>
      </w:r>
      <w:r>
        <w:rPr>
          <w:rFonts w:eastAsia="Times New Roman"/>
          <w:sz w:val="22"/>
          <w:szCs w:val="22"/>
          <w:shd w:val="clear" w:color="auto" w:fill="FFFFFF"/>
          <w:lang w:eastAsia="en-GB"/>
        </w:rPr>
        <w:t xml:space="preserve">n the right place </w:t>
      </w:r>
    </w:p>
    <w:p w:rsidR="003B6A05" w:rsidRDefault="003B6A05" w:rsidP="003B6A05">
      <w:pPr>
        <w:shd w:val="clear" w:color="auto" w:fill="FFFFFF"/>
        <w:spacing w:after="120" w:line="240" w:lineRule="auto"/>
        <w:rPr>
          <w:sz w:val="22"/>
          <w:szCs w:val="22"/>
        </w:rPr>
      </w:pPr>
      <w:r w:rsidRPr="006D140D">
        <w:rPr>
          <w:rFonts w:eastAsia="Times New Roman"/>
          <w:sz w:val="22"/>
          <w:szCs w:val="22"/>
          <w:shd w:val="clear" w:color="auto" w:fill="FFFFFF"/>
          <w:lang w:eastAsia="en-GB"/>
        </w:rPr>
        <w:t>Warwickshire Cares Better Together</w:t>
      </w:r>
      <w:r w:rsidRPr="00B52923" w:rsidDel="00C51DAC">
        <w:rPr>
          <w:sz w:val="22"/>
          <w:szCs w:val="22"/>
        </w:rPr>
        <w:t xml:space="preserve"> </w:t>
      </w:r>
      <w:r>
        <w:rPr>
          <w:sz w:val="22"/>
          <w:szCs w:val="22"/>
        </w:rPr>
        <w:t>is split into 5 work streams; delivery of Warwickshire’s re-</w:t>
      </w:r>
      <w:proofErr w:type="spellStart"/>
      <w:r>
        <w:rPr>
          <w:sz w:val="22"/>
          <w:szCs w:val="22"/>
        </w:rPr>
        <w:t>freshed</w:t>
      </w:r>
      <w:proofErr w:type="spellEnd"/>
      <w:r>
        <w:rPr>
          <w:sz w:val="22"/>
          <w:szCs w:val="22"/>
        </w:rPr>
        <w:t xml:space="preserve"> Living Well with Dementia Strategy fits within the Long Term Care and Community Resilience work streams: </w:t>
      </w:r>
    </w:p>
    <w:p w:rsidR="003B6A05" w:rsidRDefault="003B6A05" w:rsidP="003B6A05">
      <w:pPr>
        <w:shd w:val="clear" w:color="auto" w:fill="FFFFFF"/>
        <w:spacing w:after="120" w:line="240" w:lineRule="auto"/>
        <w:rPr>
          <w:sz w:val="22"/>
          <w:szCs w:val="22"/>
        </w:rPr>
      </w:pPr>
    </w:p>
    <w:p w:rsidR="003B6A05" w:rsidRDefault="003B6A05" w:rsidP="003B6A05">
      <w:pPr>
        <w:spacing w:after="120" w:line="240" w:lineRule="auto"/>
        <w:rPr>
          <w:sz w:val="22"/>
          <w:szCs w:val="22"/>
        </w:rPr>
      </w:pPr>
      <w:r>
        <w:rPr>
          <w:noProof/>
          <w:lang w:eastAsia="en-GB"/>
        </w:rPr>
        <w:drawing>
          <wp:inline distT="0" distB="0" distL="0" distR="0" wp14:anchorId="2FEC992D" wp14:editId="22BD167C">
            <wp:extent cx="5731510" cy="1215497"/>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1215497"/>
                    </a:xfrm>
                    <a:prstGeom prst="rect">
                      <a:avLst/>
                    </a:prstGeom>
                  </pic:spPr>
                </pic:pic>
              </a:graphicData>
            </a:graphic>
          </wp:inline>
        </w:drawing>
      </w:r>
    </w:p>
    <w:p w:rsidR="003B6A05" w:rsidRPr="00B52923" w:rsidRDefault="003B6A05" w:rsidP="003B6A05">
      <w:pPr>
        <w:spacing w:after="120" w:line="240" w:lineRule="auto"/>
        <w:rPr>
          <w:sz w:val="22"/>
          <w:szCs w:val="22"/>
        </w:rPr>
      </w:pPr>
    </w:p>
    <w:p w:rsidR="003B6A05" w:rsidRPr="00B52923" w:rsidRDefault="003B6A05" w:rsidP="003B6A05">
      <w:pPr>
        <w:spacing w:after="120" w:line="240" w:lineRule="auto"/>
        <w:rPr>
          <w:b/>
          <w:sz w:val="22"/>
          <w:szCs w:val="22"/>
        </w:rPr>
      </w:pPr>
      <w:bookmarkStart w:id="9" w:name="_Toc399745112"/>
      <w:r w:rsidRPr="00B52923">
        <w:rPr>
          <w:b/>
          <w:sz w:val="22"/>
          <w:szCs w:val="22"/>
        </w:rPr>
        <w:t>Care Act 2014</w:t>
      </w:r>
      <w:bookmarkEnd w:id="9"/>
    </w:p>
    <w:p w:rsidR="003B6A05" w:rsidRPr="00B52923" w:rsidRDefault="003B6A05" w:rsidP="003B6A05">
      <w:pPr>
        <w:spacing w:after="120" w:line="240" w:lineRule="auto"/>
        <w:rPr>
          <w:sz w:val="22"/>
          <w:szCs w:val="22"/>
        </w:rPr>
      </w:pPr>
      <w:r w:rsidRPr="00B52923">
        <w:rPr>
          <w:sz w:val="22"/>
          <w:szCs w:val="22"/>
        </w:rPr>
        <w:t xml:space="preserve">The Care Act </w:t>
      </w:r>
      <w:r>
        <w:rPr>
          <w:sz w:val="22"/>
          <w:szCs w:val="22"/>
        </w:rPr>
        <w:t xml:space="preserve">2014 </w:t>
      </w:r>
      <w:r w:rsidRPr="007F1E94">
        <w:rPr>
          <w:sz w:val="22"/>
          <w:szCs w:val="22"/>
        </w:rPr>
        <w:t>replace</w:t>
      </w:r>
      <w:r>
        <w:rPr>
          <w:sz w:val="22"/>
          <w:szCs w:val="22"/>
        </w:rPr>
        <w:t>d</w:t>
      </w:r>
      <w:r w:rsidRPr="007F1E94">
        <w:rPr>
          <w:sz w:val="22"/>
          <w:szCs w:val="22"/>
        </w:rPr>
        <w:t xml:space="preserve"> a number of different pieces of legislation with a single modern law and a new legal framework that has the wellbeing of individuals at the hea</w:t>
      </w:r>
      <w:r>
        <w:rPr>
          <w:sz w:val="22"/>
          <w:szCs w:val="22"/>
        </w:rPr>
        <w:t>rt of care and support services, and aims to put</w:t>
      </w:r>
      <w:r w:rsidRPr="00FD6EF3">
        <w:rPr>
          <w:sz w:val="22"/>
          <w:szCs w:val="22"/>
        </w:rPr>
        <w:t xml:space="preserve"> </w:t>
      </w:r>
      <w:r>
        <w:rPr>
          <w:sz w:val="22"/>
          <w:szCs w:val="22"/>
        </w:rPr>
        <w:t>customers</w:t>
      </w:r>
      <w:r w:rsidRPr="00FD6EF3">
        <w:rPr>
          <w:sz w:val="22"/>
          <w:szCs w:val="22"/>
        </w:rPr>
        <w:t xml:space="preserve"> </w:t>
      </w:r>
      <w:r>
        <w:rPr>
          <w:sz w:val="22"/>
          <w:szCs w:val="22"/>
        </w:rPr>
        <w:t>and</w:t>
      </w:r>
      <w:r w:rsidRPr="00FD6EF3">
        <w:rPr>
          <w:sz w:val="22"/>
          <w:szCs w:val="22"/>
        </w:rPr>
        <w:t xml:space="preserve"> carers in </w:t>
      </w:r>
      <w:r>
        <w:rPr>
          <w:sz w:val="22"/>
          <w:szCs w:val="22"/>
        </w:rPr>
        <w:t xml:space="preserve">greater </w:t>
      </w:r>
      <w:r w:rsidRPr="00FD6EF3">
        <w:rPr>
          <w:sz w:val="22"/>
          <w:szCs w:val="22"/>
        </w:rPr>
        <w:t xml:space="preserve">control of their care </w:t>
      </w:r>
      <w:r>
        <w:rPr>
          <w:sz w:val="22"/>
          <w:szCs w:val="22"/>
        </w:rPr>
        <w:t>and</w:t>
      </w:r>
      <w:r w:rsidRPr="00FD6EF3">
        <w:rPr>
          <w:sz w:val="22"/>
          <w:szCs w:val="22"/>
        </w:rPr>
        <w:t xml:space="preserve"> support</w:t>
      </w:r>
      <w:r>
        <w:rPr>
          <w:sz w:val="22"/>
          <w:szCs w:val="22"/>
        </w:rPr>
        <w:t xml:space="preserve">. </w:t>
      </w:r>
    </w:p>
    <w:p w:rsidR="003B6A05" w:rsidRPr="009B60B0" w:rsidRDefault="003B6A05" w:rsidP="003B6A05">
      <w:pPr>
        <w:spacing w:after="120" w:line="240" w:lineRule="auto"/>
        <w:rPr>
          <w:sz w:val="22"/>
          <w:szCs w:val="22"/>
        </w:rPr>
      </w:pPr>
      <w:r w:rsidRPr="009B60B0">
        <w:rPr>
          <w:sz w:val="22"/>
          <w:szCs w:val="22"/>
        </w:rPr>
        <w:t xml:space="preserve">The Care Act will </w:t>
      </w:r>
      <w:r>
        <w:rPr>
          <w:sz w:val="22"/>
          <w:szCs w:val="22"/>
        </w:rPr>
        <w:t>impact people with</w:t>
      </w:r>
      <w:r w:rsidRPr="009B60B0">
        <w:rPr>
          <w:sz w:val="22"/>
          <w:szCs w:val="22"/>
        </w:rPr>
        <w:t xml:space="preserve"> dementia</w:t>
      </w:r>
      <w:r>
        <w:rPr>
          <w:sz w:val="22"/>
          <w:szCs w:val="22"/>
        </w:rPr>
        <w:t xml:space="preserve"> in the following ways:</w:t>
      </w:r>
    </w:p>
    <w:p w:rsidR="003B6A05" w:rsidRPr="00E21037" w:rsidRDefault="003B6A05" w:rsidP="003B6A05">
      <w:pPr>
        <w:pStyle w:val="ListParagraph"/>
        <w:numPr>
          <w:ilvl w:val="0"/>
          <w:numId w:val="1"/>
        </w:numPr>
        <w:spacing w:after="120" w:line="240" w:lineRule="auto"/>
        <w:contextualSpacing w:val="0"/>
        <w:rPr>
          <w:sz w:val="22"/>
          <w:szCs w:val="22"/>
        </w:rPr>
      </w:pPr>
      <w:r w:rsidRPr="009B60B0">
        <w:rPr>
          <w:sz w:val="22"/>
          <w:szCs w:val="22"/>
        </w:rPr>
        <w:t xml:space="preserve">From April 2015 </w:t>
      </w:r>
      <w:r>
        <w:rPr>
          <w:sz w:val="22"/>
          <w:szCs w:val="22"/>
        </w:rPr>
        <w:t xml:space="preserve">Local Authorities </w:t>
      </w:r>
      <w:r w:rsidRPr="009B60B0">
        <w:rPr>
          <w:sz w:val="22"/>
          <w:szCs w:val="22"/>
        </w:rPr>
        <w:t xml:space="preserve">have a duty to provide information and advice about what type of care and support is available, e.g. </w:t>
      </w:r>
      <w:r>
        <w:rPr>
          <w:sz w:val="22"/>
          <w:szCs w:val="22"/>
        </w:rPr>
        <w:t xml:space="preserve">post diagnosis support </w:t>
      </w:r>
      <w:r w:rsidRPr="009B60B0">
        <w:rPr>
          <w:sz w:val="22"/>
          <w:szCs w:val="22"/>
        </w:rPr>
        <w:t>or independent financial advice about care and support a</w:t>
      </w:r>
      <w:r>
        <w:rPr>
          <w:sz w:val="22"/>
          <w:szCs w:val="22"/>
        </w:rPr>
        <w:t xml:space="preserve">nd how to access it. </w:t>
      </w:r>
      <w:r w:rsidRPr="009B60B0">
        <w:rPr>
          <w:sz w:val="22"/>
          <w:szCs w:val="22"/>
        </w:rPr>
        <w:t xml:space="preserve">This </w:t>
      </w:r>
      <w:r>
        <w:rPr>
          <w:sz w:val="22"/>
          <w:szCs w:val="22"/>
        </w:rPr>
        <w:t>is aimed at</w:t>
      </w:r>
      <w:r w:rsidRPr="009B60B0">
        <w:rPr>
          <w:sz w:val="22"/>
          <w:szCs w:val="22"/>
        </w:rPr>
        <w:t xml:space="preserve"> improv</w:t>
      </w:r>
      <w:r>
        <w:rPr>
          <w:sz w:val="22"/>
          <w:szCs w:val="22"/>
        </w:rPr>
        <w:t>ing</w:t>
      </w:r>
      <w:r w:rsidRPr="009B60B0">
        <w:rPr>
          <w:sz w:val="22"/>
          <w:szCs w:val="22"/>
        </w:rPr>
        <w:t xml:space="preserve"> independence and wellbeing </w:t>
      </w:r>
      <w:r>
        <w:rPr>
          <w:sz w:val="22"/>
          <w:szCs w:val="22"/>
        </w:rPr>
        <w:t xml:space="preserve">of local people </w:t>
      </w:r>
      <w:r w:rsidRPr="009B60B0">
        <w:rPr>
          <w:sz w:val="22"/>
          <w:szCs w:val="22"/>
        </w:rPr>
        <w:t>and help</w:t>
      </w:r>
      <w:r>
        <w:rPr>
          <w:sz w:val="22"/>
          <w:szCs w:val="22"/>
        </w:rPr>
        <w:t>s</w:t>
      </w:r>
      <w:r w:rsidRPr="009B60B0">
        <w:rPr>
          <w:sz w:val="22"/>
          <w:szCs w:val="22"/>
        </w:rPr>
        <w:t xml:space="preserve"> </w:t>
      </w:r>
      <w:r>
        <w:rPr>
          <w:sz w:val="22"/>
          <w:szCs w:val="22"/>
        </w:rPr>
        <w:t xml:space="preserve">to </w:t>
      </w:r>
      <w:r w:rsidRPr="009B60B0">
        <w:rPr>
          <w:sz w:val="22"/>
          <w:szCs w:val="22"/>
        </w:rPr>
        <w:t>prevent or delay on-going care and support</w:t>
      </w:r>
      <w:r>
        <w:rPr>
          <w:sz w:val="22"/>
          <w:szCs w:val="22"/>
        </w:rPr>
        <w:t xml:space="preserve"> needs.</w:t>
      </w:r>
    </w:p>
    <w:p w:rsidR="003B6A05" w:rsidRDefault="003B6A05" w:rsidP="003B6A05">
      <w:pPr>
        <w:pStyle w:val="ListParagraph"/>
        <w:numPr>
          <w:ilvl w:val="0"/>
          <w:numId w:val="1"/>
        </w:numPr>
        <w:spacing w:after="120" w:line="240" w:lineRule="auto"/>
        <w:contextualSpacing w:val="0"/>
        <w:rPr>
          <w:sz w:val="22"/>
          <w:szCs w:val="22"/>
        </w:rPr>
      </w:pPr>
      <w:r w:rsidRPr="00AF61C0">
        <w:rPr>
          <w:sz w:val="22"/>
          <w:szCs w:val="22"/>
        </w:rPr>
        <w:t xml:space="preserve">From April 2016 Local Authorities will have a legal responsibility to assess all carers who appear in need of support.  This will mean more carers of people living with dementia will </w:t>
      </w:r>
      <w:r>
        <w:rPr>
          <w:sz w:val="22"/>
          <w:szCs w:val="22"/>
        </w:rPr>
        <w:t xml:space="preserve">be entitled to </w:t>
      </w:r>
      <w:r w:rsidRPr="00AF61C0">
        <w:rPr>
          <w:sz w:val="22"/>
          <w:szCs w:val="22"/>
        </w:rPr>
        <w:t>have an assessment</w:t>
      </w:r>
      <w:r>
        <w:rPr>
          <w:sz w:val="22"/>
          <w:szCs w:val="22"/>
        </w:rPr>
        <w:t xml:space="preserve"> of their needs.</w:t>
      </w:r>
      <w:r w:rsidRPr="00AF61C0">
        <w:rPr>
          <w:sz w:val="22"/>
          <w:szCs w:val="22"/>
        </w:rPr>
        <w:t xml:space="preserve"> </w:t>
      </w:r>
    </w:p>
    <w:p w:rsidR="003B6A05" w:rsidRPr="00AF61C0" w:rsidRDefault="003B6A05" w:rsidP="003B6A05">
      <w:pPr>
        <w:pStyle w:val="ListParagraph"/>
        <w:numPr>
          <w:ilvl w:val="0"/>
          <w:numId w:val="1"/>
        </w:numPr>
        <w:spacing w:after="120" w:line="240" w:lineRule="auto"/>
        <w:contextualSpacing w:val="0"/>
        <w:rPr>
          <w:sz w:val="22"/>
          <w:szCs w:val="22"/>
        </w:rPr>
      </w:pPr>
      <w:r>
        <w:rPr>
          <w:sz w:val="22"/>
          <w:szCs w:val="22"/>
        </w:rPr>
        <w:t xml:space="preserve">From April 2020 - </w:t>
      </w:r>
      <w:r w:rsidRPr="00AF61C0">
        <w:rPr>
          <w:sz w:val="22"/>
          <w:szCs w:val="22"/>
        </w:rPr>
        <w:t>a new financial threshold allowing the establishment of a cap on care costs for people who are eligible for social care support</w:t>
      </w:r>
      <w:bookmarkStart w:id="10" w:name="_Toc399745113"/>
      <w:r w:rsidRPr="00AF61C0">
        <w:rPr>
          <w:sz w:val="22"/>
          <w:szCs w:val="22"/>
        </w:rPr>
        <w:t xml:space="preserve"> </w:t>
      </w:r>
      <w:r>
        <w:rPr>
          <w:sz w:val="22"/>
          <w:szCs w:val="22"/>
        </w:rPr>
        <w:t>will be introduced.</w:t>
      </w:r>
    </w:p>
    <w:p w:rsidR="003B6A05" w:rsidRPr="00E21037" w:rsidRDefault="003B6A05" w:rsidP="003B6A05">
      <w:pPr>
        <w:spacing w:after="120" w:line="240" w:lineRule="auto"/>
        <w:rPr>
          <w:sz w:val="22"/>
          <w:szCs w:val="22"/>
        </w:rPr>
      </w:pPr>
      <w:r w:rsidRPr="00E21037">
        <w:rPr>
          <w:sz w:val="22"/>
          <w:szCs w:val="22"/>
        </w:rPr>
        <w:t xml:space="preserve">These changes will impact on the way Local Authorities </w:t>
      </w:r>
      <w:r>
        <w:rPr>
          <w:sz w:val="22"/>
          <w:szCs w:val="22"/>
        </w:rPr>
        <w:t>operate</w:t>
      </w:r>
      <w:r w:rsidRPr="00E21037">
        <w:rPr>
          <w:sz w:val="22"/>
          <w:szCs w:val="22"/>
        </w:rPr>
        <w:t>. They will also have an impact on care providers and user organisations and their roles in the delivery of care, and the expectations and duties placed on them by the new legislation.</w:t>
      </w:r>
    </w:p>
    <w:p w:rsidR="003B6A05" w:rsidRPr="00F07C8C" w:rsidRDefault="003B6A05" w:rsidP="003B6A05">
      <w:pPr>
        <w:spacing w:after="120" w:line="240" w:lineRule="auto"/>
        <w:rPr>
          <w:b/>
          <w:sz w:val="22"/>
          <w:szCs w:val="22"/>
        </w:rPr>
      </w:pPr>
    </w:p>
    <w:p w:rsidR="003B6A05" w:rsidRPr="00F07C8C" w:rsidRDefault="003B6A05" w:rsidP="003B6A05">
      <w:pPr>
        <w:spacing w:after="120" w:line="240" w:lineRule="auto"/>
        <w:rPr>
          <w:b/>
          <w:sz w:val="22"/>
          <w:szCs w:val="22"/>
        </w:rPr>
      </w:pPr>
      <w:r w:rsidRPr="00F07C8C">
        <w:rPr>
          <w:b/>
          <w:sz w:val="22"/>
          <w:szCs w:val="22"/>
        </w:rPr>
        <w:t xml:space="preserve">Dementia 2015 – </w:t>
      </w:r>
      <w:bookmarkEnd w:id="10"/>
      <w:r w:rsidRPr="00F07C8C">
        <w:rPr>
          <w:b/>
          <w:sz w:val="22"/>
          <w:szCs w:val="22"/>
        </w:rPr>
        <w:t>Aiming Higher to Transform Lives (report by the Alzheimer’s Society)</w:t>
      </w:r>
    </w:p>
    <w:p w:rsidR="003B6A05" w:rsidRPr="00F07C8C" w:rsidRDefault="003B6A05" w:rsidP="003B6A05">
      <w:pPr>
        <w:spacing w:after="120" w:line="240" w:lineRule="auto"/>
        <w:rPr>
          <w:sz w:val="22"/>
          <w:szCs w:val="22"/>
        </w:rPr>
      </w:pPr>
      <w:r w:rsidRPr="00F07C8C">
        <w:rPr>
          <w:sz w:val="22"/>
          <w:szCs w:val="22"/>
        </w:rPr>
        <w:t>The Alzheimer's Society's ‘Dementia 2015’</w:t>
      </w:r>
      <w:r w:rsidRPr="00F07C8C">
        <w:rPr>
          <w:rStyle w:val="FootnoteReference"/>
          <w:sz w:val="22"/>
          <w:szCs w:val="22"/>
        </w:rPr>
        <w:footnoteReference w:id="3"/>
      </w:r>
      <w:r w:rsidRPr="00F07C8C">
        <w:rPr>
          <w:sz w:val="22"/>
          <w:szCs w:val="22"/>
        </w:rPr>
        <w:t xml:space="preserve"> report provides a snapshot of the quality of life experienced by people living with dementia in the UK.  The report releases results from a survey of over 1,000 people with dementia. Some of the findings illustrate that: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68% of people said that they felt they were</w:t>
      </w:r>
      <w:r w:rsidRPr="00F07C8C">
        <w:rPr>
          <w:rStyle w:val="apple-converted-space"/>
          <w:sz w:val="22"/>
          <w:szCs w:val="22"/>
        </w:rPr>
        <w:t> </w:t>
      </w:r>
      <w:r w:rsidRPr="00F07C8C">
        <w:rPr>
          <w:sz w:val="22"/>
          <w:szCs w:val="22"/>
          <w:bdr w:val="none" w:sz="0" w:space="0" w:color="auto" w:frame="1"/>
        </w:rPr>
        <w:t>living well with dementia</w:t>
      </w:r>
      <w:r w:rsidRPr="00F07C8C">
        <w:rPr>
          <w:sz w:val="22"/>
          <w:szCs w:val="22"/>
        </w:rPr>
        <w:t>; 15% said they were not and 17% said they did not know</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Despite this positive outlook in people's overall feeling, 53% of respondents said they had felt</w:t>
      </w:r>
      <w:r w:rsidRPr="00F07C8C">
        <w:rPr>
          <w:rStyle w:val="apple-converted-space"/>
          <w:sz w:val="22"/>
          <w:szCs w:val="22"/>
        </w:rPr>
        <w:t> </w:t>
      </w:r>
      <w:r w:rsidRPr="00F07C8C">
        <w:rPr>
          <w:sz w:val="22"/>
          <w:szCs w:val="22"/>
          <w:bdr w:val="none" w:sz="0" w:space="0" w:color="auto" w:frame="1"/>
        </w:rPr>
        <w:t xml:space="preserve">anxious or depressed </w:t>
      </w:r>
      <w:r w:rsidRPr="00F07C8C">
        <w:rPr>
          <w:sz w:val="22"/>
          <w:szCs w:val="22"/>
        </w:rPr>
        <w:t>recently</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The feeling of anxiety or depression was highest among those who had started experiencing dementia symptoms most recently</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49% of respondents said their carer did not receive any support</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Half of respondents (people with dementia) (49%) said they were not getting enough support from the government</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75% of people said that they had another health condition in addition to dementia.</w:t>
      </w:r>
    </w:p>
    <w:p w:rsidR="003B6A05" w:rsidRPr="00D55350" w:rsidRDefault="003B6A05" w:rsidP="003B6A05">
      <w:pPr>
        <w:shd w:val="clear" w:color="auto" w:fill="FFFFFF"/>
        <w:spacing w:after="120" w:line="240" w:lineRule="auto"/>
        <w:ind w:left="300" w:right="150"/>
        <w:textAlignment w:val="baseline"/>
        <w:rPr>
          <w:color w:val="353535"/>
          <w:sz w:val="22"/>
          <w:szCs w:val="22"/>
        </w:rPr>
      </w:pPr>
    </w:p>
    <w:p w:rsidR="003B6A05" w:rsidRPr="00F07C8C" w:rsidRDefault="003B6A05" w:rsidP="003B6A05">
      <w:pPr>
        <w:pStyle w:val="NormalWeb"/>
        <w:shd w:val="clear" w:color="auto" w:fill="FFFFFF"/>
        <w:spacing w:before="0" w:after="120" w:line="240" w:lineRule="auto"/>
        <w:textAlignment w:val="baseline"/>
        <w:rPr>
          <w:rFonts w:ascii="Arial" w:hAnsi="Arial" w:cs="Arial"/>
          <w:sz w:val="22"/>
          <w:szCs w:val="22"/>
        </w:rPr>
      </w:pPr>
      <w:r w:rsidRPr="00F07C8C">
        <w:rPr>
          <w:rFonts w:ascii="Arial" w:hAnsi="Arial" w:cs="Arial"/>
          <w:sz w:val="22"/>
          <w:szCs w:val="22"/>
        </w:rPr>
        <w:t>A survey of GPs was also commissioned as part of the report and it found that: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Half of GPs (50%) don't think their patients with dementia get enough support from the NHS</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Over two thirds (67%) of GPs don't think their patients with dementia get enough support from social services</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 xml:space="preserve">More than three quarters (77%) of GPs think their patients have to rely on family members as they don't get enough support from health and social </w:t>
      </w:r>
      <w:r>
        <w:rPr>
          <w:sz w:val="22"/>
          <w:szCs w:val="22"/>
        </w:rPr>
        <w:t xml:space="preserve">care </w:t>
      </w:r>
      <w:r w:rsidRPr="00F07C8C">
        <w:rPr>
          <w:sz w:val="22"/>
          <w:szCs w:val="22"/>
        </w:rPr>
        <w:t>services</w:t>
      </w:r>
      <w:r>
        <w:rPr>
          <w:sz w:val="22"/>
          <w:szCs w:val="22"/>
        </w:rPr>
        <w:t>.</w:t>
      </w:r>
    </w:p>
    <w:p w:rsidR="003B6A05" w:rsidRPr="00F07C8C" w:rsidRDefault="003B6A05" w:rsidP="003B6A05">
      <w:pPr>
        <w:spacing w:after="120" w:line="240" w:lineRule="auto"/>
        <w:rPr>
          <w:sz w:val="22"/>
          <w:szCs w:val="22"/>
        </w:rPr>
      </w:pPr>
      <w:r w:rsidRPr="00F07C8C">
        <w:rPr>
          <w:sz w:val="22"/>
          <w:szCs w:val="22"/>
        </w:rPr>
        <w:t xml:space="preserve">The report outlines a number of key recommended actions to help improve the lives of people with dementia and their carers; </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lastRenderedPageBreak/>
        <w:t>Improve dementia diagnosis rates and transform</w:t>
      </w:r>
      <w:r w:rsidRPr="00F07C8C">
        <w:rPr>
          <w:rStyle w:val="apple-converted-space"/>
          <w:sz w:val="22"/>
          <w:szCs w:val="22"/>
        </w:rPr>
        <w:t> </w:t>
      </w:r>
      <w:r w:rsidRPr="00F07C8C">
        <w:rPr>
          <w:sz w:val="22"/>
          <w:szCs w:val="22"/>
        </w:rPr>
        <w:t>post diagnosis support</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I</w:t>
      </w:r>
      <w:r>
        <w:rPr>
          <w:sz w:val="22"/>
          <w:szCs w:val="22"/>
        </w:rPr>
        <w:t>mprove</w:t>
      </w:r>
      <w:r w:rsidRPr="00F07C8C">
        <w:rPr>
          <w:sz w:val="22"/>
          <w:szCs w:val="22"/>
        </w:rPr>
        <w:t xml:space="preserve"> support to carers of people with dementia</w:t>
      </w:r>
      <w:r>
        <w:rPr>
          <w:sz w:val="22"/>
          <w:szCs w:val="22"/>
        </w:rPr>
        <w:t>;</w:t>
      </w:r>
      <w:r w:rsidRPr="00F07C8C">
        <w:rPr>
          <w:sz w:val="22"/>
          <w:szCs w:val="22"/>
        </w:rPr>
        <w:t xml:space="preserve"> </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Create dementia-</w:t>
      </w:r>
      <w:r w:rsidRPr="00F07C8C">
        <w:rPr>
          <w:bCs/>
          <w:sz w:val="22"/>
          <w:szCs w:val="22"/>
        </w:rPr>
        <w:t>friendly</w:t>
      </w:r>
      <w:r w:rsidRPr="00F07C8C">
        <w:rPr>
          <w:sz w:val="22"/>
          <w:szCs w:val="22"/>
        </w:rPr>
        <w:t xml:space="preserve"> </w:t>
      </w:r>
      <w:r w:rsidRPr="00F07C8C">
        <w:rPr>
          <w:bCs/>
          <w:sz w:val="22"/>
          <w:szCs w:val="22"/>
        </w:rPr>
        <w:t>health</w:t>
      </w:r>
      <w:r w:rsidRPr="00F07C8C">
        <w:rPr>
          <w:sz w:val="22"/>
          <w:szCs w:val="22"/>
        </w:rPr>
        <w:t xml:space="preserve"> and care environments</w:t>
      </w:r>
      <w:r>
        <w:rPr>
          <w:sz w:val="22"/>
          <w:szCs w:val="22"/>
        </w:rPr>
        <w:t>;</w:t>
      </w:r>
      <w:r w:rsidRPr="00F07C8C">
        <w:rPr>
          <w:sz w:val="22"/>
          <w:szCs w:val="22"/>
        </w:rPr>
        <w:t xml:space="preserve"> </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 xml:space="preserve">Tackle issues in </w:t>
      </w:r>
      <w:r w:rsidRPr="00F07C8C">
        <w:rPr>
          <w:bCs/>
          <w:sz w:val="22"/>
          <w:szCs w:val="22"/>
        </w:rPr>
        <w:t>dementia</w:t>
      </w:r>
      <w:r w:rsidRPr="00F07C8C">
        <w:rPr>
          <w:sz w:val="22"/>
          <w:szCs w:val="22"/>
        </w:rPr>
        <w:t xml:space="preserve"> education, training and workforce</w:t>
      </w:r>
      <w:r>
        <w:rPr>
          <w:sz w:val="22"/>
          <w:szCs w:val="22"/>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Drive forward</w:t>
      </w:r>
      <w:r w:rsidRPr="00F07C8C">
        <w:rPr>
          <w:rStyle w:val="apple-converted-space"/>
          <w:sz w:val="22"/>
          <w:szCs w:val="22"/>
        </w:rPr>
        <w:t> the ‘</w:t>
      </w:r>
      <w:r w:rsidRPr="00F07C8C">
        <w:rPr>
          <w:sz w:val="22"/>
          <w:szCs w:val="22"/>
          <w:bdr w:val="none" w:sz="0" w:space="0" w:color="auto" w:frame="1"/>
        </w:rPr>
        <w:t>Dementia Friendly Communities’ programme</w:t>
      </w:r>
      <w:r>
        <w:rPr>
          <w:sz w:val="22"/>
          <w:szCs w:val="22"/>
          <w:bdr w:val="none" w:sz="0" w:space="0" w:color="auto" w:frame="1"/>
        </w:rPr>
        <w:t>;</w:t>
      </w:r>
    </w:p>
    <w:p w:rsidR="003B6A05" w:rsidRPr="00F07C8C" w:rsidRDefault="003B6A05" w:rsidP="003B6A05">
      <w:pPr>
        <w:pStyle w:val="ListParagraph"/>
        <w:numPr>
          <w:ilvl w:val="0"/>
          <w:numId w:val="2"/>
        </w:numPr>
        <w:spacing w:after="120" w:line="240" w:lineRule="auto"/>
        <w:rPr>
          <w:sz w:val="22"/>
          <w:szCs w:val="22"/>
        </w:rPr>
      </w:pPr>
      <w:r w:rsidRPr="00F07C8C">
        <w:rPr>
          <w:sz w:val="22"/>
          <w:szCs w:val="22"/>
        </w:rPr>
        <w:t xml:space="preserve">Make the UK a </w:t>
      </w:r>
      <w:r w:rsidRPr="00F07C8C">
        <w:rPr>
          <w:bCs/>
          <w:sz w:val="22"/>
          <w:szCs w:val="22"/>
        </w:rPr>
        <w:t>leader</w:t>
      </w:r>
      <w:r w:rsidRPr="00F07C8C">
        <w:rPr>
          <w:sz w:val="22"/>
          <w:szCs w:val="22"/>
        </w:rPr>
        <w:t xml:space="preserve"> in transformational</w:t>
      </w:r>
      <w:r w:rsidRPr="00F07C8C">
        <w:rPr>
          <w:rStyle w:val="apple-converted-space"/>
          <w:sz w:val="22"/>
          <w:szCs w:val="22"/>
        </w:rPr>
        <w:t xml:space="preserve"> dementia research</w:t>
      </w:r>
      <w:bookmarkStart w:id="11" w:name="_Toc398204319"/>
      <w:r>
        <w:rPr>
          <w:rStyle w:val="apple-converted-space"/>
          <w:sz w:val="22"/>
          <w:szCs w:val="22"/>
        </w:rPr>
        <w:t>.</w:t>
      </w:r>
    </w:p>
    <w:p w:rsidR="003B6A05" w:rsidRPr="00F07C8C" w:rsidRDefault="003B6A05" w:rsidP="003B6A05">
      <w:pPr>
        <w:shd w:val="clear" w:color="auto" w:fill="FFFFFF"/>
        <w:spacing w:after="120" w:line="240" w:lineRule="auto"/>
        <w:textAlignment w:val="baseline"/>
        <w:rPr>
          <w:sz w:val="22"/>
          <w:szCs w:val="22"/>
        </w:rPr>
      </w:pPr>
    </w:p>
    <w:p w:rsidR="003B6A05" w:rsidRPr="00F07C8C" w:rsidRDefault="003B6A05" w:rsidP="003B6A05">
      <w:pPr>
        <w:shd w:val="clear" w:color="auto" w:fill="FFFFFF"/>
        <w:spacing w:after="120" w:line="240" w:lineRule="auto"/>
        <w:textAlignment w:val="baseline"/>
        <w:rPr>
          <w:sz w:val="22"/>
          <w:szCs w:val="22"/>
        </w:rPr>
      </w:pPr>
      <w:r w:rsidRPr="00F07C8C">
        <w:rPr>
          <w:sz w:val="22"/>
          <w:szCs w:val="22"/>
        </w:rPr>
        <w:t xml:space="preserve">Some of the recommendations of ‘Dementia 2015’ </w:t>
      </w:r>
      <w:r>
        <w:rPr>
          <w:sz w:val="22"/>
          <w:szCs w:val="22"/>
        </w:rPr>
        <w:t>will be taken forward in this Strategy’s</w:t>
      </w:r>
      <w:r w:rsidRPr="00F07C8C">
        <w:rPr>
          <w:sz w:val="22"/>
          <w:szCs w:val="22"/>
        </w:rPr>
        <w:t xml:space="preserve"> delivery plan.</w:t>
      </w:r>
    </w:p>
    <w:p w:rsidR="003B6A05" w:rsidRPr="00036CF4" w:rsidRDefault="003B6A05" w:rsidP="003B6A05">
      <w:pPr>
        <w:shd w:val="clear" w:color="auto" w:fill="FFFFFF"/>
        <w:spacing w:after="120" w:line="240" w:lineRule="auto"/>
        <w:textAlignment w:val="baseline"/>
        <w:rPr>
          <w:sz w:val="22"/>
          <w:szCs w:val="22"/>
        </w:rPr>
      </w:pPr>
    </w:p>
    <w:p w:rsidR="003B6A05" w:rsidRDefault="003B6A05" w:rsidP="003B6A05">
      <w:pPr>
        <w:spacing w:after="120" w:line="240" w:lineRule="auto"/>
        <w:rPr>
          <w:b/>
          <w:sz w:val="22"/>
          <w:szCs w:val="22"/>
        </w:rPr>
      </w:pPr>
      <w:r w:rsidRPr="00036CF4">
        <w:rPr>
          <w:b/>
          <w:sz w:val="22"/>
          <w:szCs w:val="22"/>
        </w:rPr>
        <w:t xml:space="preserve">NHS </w:t>
      </w:r>
      <w:r>
        <w:rPr>
          <w:b/>
          <w:sz w:val="22"/>
          <w:szCs w:val="22"/>
        </w:rPr>
        <w:t>O</w:t>
      </w:r>
      <w:r w:rsidRPr="00036CF4">
        <w:rPr>
          <w:b/>
          <w:sz w:val="22"/>
          <w:szCs w:val="22"/>
        </w:rPr>
        <w:t xml:space="preserve">utcomes </w:t>
      </w:r>
      <w:r>
        <w:rPr>
          <w:b/>
          <w:sz w:val="22"/>
          <w:szCs w:val="22"/>
        </w:rPr>
        <w:t>F</w:t>
      </w:r>
      <w:r w:rsidRPr="00036CF4">
        <w:rPr>
          <w:b/>
          <w:sz w:val="22"/>
          <w:szCs w:val="22"/>
        </w:rPr>
        <w:t>ramework 201</w:t>
      </w:r>
      <w:r>
        <w:rPr>
          <w:b/>
          <w:sz w:val="22"/>
          <w:szCs w:val="22"/>
        </w:rPr>
        <w:t>5</w:t>
      </w:r>
      <w:r w:rsidRPr="00036CF4">
        <w:rPr>
          <w:b/>
          <w:sz w:val="22"/>
          <w:szCs w:val="22"/>
        </w:rPr>
        <w:t>-201</w:t>
      </w:r>
      <w:r>
        <w:rPr>
          <w:b/>
          <w:sz w:val="22"/>
          <w:szCs w:val="22"/>
        </w:rPr>
        <w:t>6</w:t>
      </w:r>
    </w:p>
    <w:p w:rsidR="003B6A05" w:rsidRDefault="003B6A05" w:rsidP="003B6A05">
      <w:pPr>
        <w:pStyle w:val="Default"/>
        <w:rPr>
          <w:sz w:val="22"/>
          <w:szCs w:val="22"/>
        </w:rPr>
      </w:pPr>
      <w:r w:rsidRPr="00036CF4">
        <w:rPr>
          <w:sz w:val="22"/>
          <w:szCs w:val="22"/>
        </w:rPr>
        <w:t>The NHS outcomes framework 201</w:t>
      </w:r>
      <w:r>
        <w:rPr>
          <w:sz w:val="22"/>
          <w:szCs w:val="22"/>
        </w:rPr>
        <w:t>5</w:t>
      </w:r>
      <w:r w:rsidRPr="00036CF4">
        <w:rPr>
          <w:sz w:val="22"/>
          <w:szCs w:val="22"/>
        </w:rPr>
        <w:t>-201</w:t>
      </w:r>
      <w:r>
        <w:rPr>
          <w:sz w:val="22"/>
          <w:szCs w:val="22"/>
        </w:rPr>
        <w:t>6</w:t>
      </w:r>
      <w:r w:rsidRPr="00036CF4">
        <w:rPr>
          <w:sz w:val="22"/>
          <w:szCs w:val="22"/>
        </w:rPr>
        <w:t xml:space="preserve"> </w:t>
      </w:r>
      <w:r>
        <w:rPr>
          <w:sz w:val="22"/>
          <w:szCs w:val="22"/>
        </w:rPr>
        <w:t>sets out</w:t>
      </w:r>
      <w:r w:rsidRPr="00200EF8">
        <w:rPr>
          <w:rFonts w:ascii="HelveticaNeueLT Std Lt" w:hAnsi="HelveticaNeueLT Std Lt" w:cs="HelveticaNeueLT Std Lt"/>
          <w:sz w:val="23"/>
          <w:szCs w:val="23"/>
        </w:rPr>
        <w:t xml:space="preserve"> indicators which measure performance in the health and c</w:t>
      </w:r>
      <w:r>
        <w:rPr>
          <w:rFonts w:ascii="HelveticaNeueLT Std Lt" w:hAnsi="HelveticaNeueLT Std Lt" w:cs="HelveticaNeueLT Std Lt"/>
          <w:sz w:val="23"/>
          <w:szCs w:val="23"/>
        </w:rPr>
        <w:t xml:space="preserve">are system at a national level. </w:t>
      </w:r>
      <w:r>
        <w:rPr>
          <w:sz w:val="22"/>
          <w:szCs w:val="22"/>
        </w:rPr>
        <w:t>The i</w:t>
      </w:r>
      <w:r w:rsidRPr="00883E78">
        <w:rPr>
          <w:sz w:val="22"/>
          <w:szCs w:val="22"/>
        </w:rPr>
        <w:t>ndicators are grouped aroun</w:t>
      </w:r>
      <w:r>
        <w:rPr>
          <w:sz w:val="22"/>
          <w:szCs w:val="22"/>
        </w:rPr>
        <w:t>d five domains, which set out th</w:t>
      </w:r>
      <w:r w:rsidRPr="00883E78">
        <w:rPr>
          <w:sz w:val="22"/>
          <w:szCs w:val="22"/>
        </w:rPr>
        <w:t xml:space="preserve">e high-level national outcomes that the NHS </w:t>
      </w:r>
      <w:r>
        <w:rPr>
          <w:sz w:val="22"/>
          <w:szCs w:val="22"/>
        </w:rPr>
        <w:t>is</w:t>
      </w:r>
      <w:r w:rsidRPr="00883E78">
        <w:rPr>
          <w:sz w:val="22"/>
          <w:szCs w:val="22"/>
        </w:rPr>
        <w:t xml:space="preserve"> aiming to improve</w:t>
      </w:r>
      <w:r>
        <w:rPr>
          <w:sz w:val="22"/>
          <w:szCs w:val="22"/>
        </w:rPr>
        <w:t>:</w:t>
      </w:r>
      <w:r w:rsidRPr="00036CF4">
        <w:rPr>
          <w:sz w:val="22"/>
          <w:szCs w:val="22"/>
        </w:rPr>
        <w:t xml:space="preserve"> </w:t>
      </w:r>
    </w:p>
    <w:p w:rsidR="003B6A05" w:rsidRPr="00513F9C" w:rsidRDefault="003B6A05" w:rsidP="003B6A05">
      <w:pPr>
        <w:pStyle w:val="Default"/>
        <w:rPr>
          <w:rFonts w:ascii="HelveticaNeueLT Std Lt" w:hAnsi="HelveticaNeueLT Std Lt" w:cs="HelveticaNeueLT Std Lt"/>
          <w:sz w:val="23"/>
          <w:szCs w:val="23"/>
        </w:rPr>
      </w:pPr>
      <w:r w:rsidRPr="00036CF4">
        <w:rPr>
          <w:sz w:val="22"/>
          <w:szCs w:val="22"/>
        </w:rPr>
        <w:t xml:space="preserve"> </w:t>
      </w:r>
    </w:p>
    <w:p w:rsidR="003B6A05" w:rsidRPr="00036CF4" w:rsidRDefault="003B6A05" w:rsidP="003B6A05">
      <w:pPr>
        <w:pStyle w:val="ListParagraph"/>
        <w:numPr>
          <w:ilvl w:val="0"/>
          <w:numId w:val="3"/>
        </w:numPr>
        <w:spacing w:after="120" w:line="240" w:lineRule="auto"/>
        <w:rPr>
          <w:sz w:val="22"/>
          <w:szCs w:val="22"/>
        </w:rPr>
      </w:pPr>
      <w:r w:rsidRPr="00E55C70">
        <w:rPr>
          <w:bCs/>
          <w:sz w:val="22"/>
          <w:szCs w:val="22"/>
        </w:rPr>
        <w:t>Preventing</w:t>
      </w:r>
      <w:r w:rsidRPr="00036CF4">
        <w:rPr>
          <w:sz w:val="22"/>
          <w:szCs w:val="22"/>
        </w:rPr>
        <w:t xml:space="preserve"> people from dying prematurely</w:t>
      </w:r>
      <w:r>
        <w:rPr>
          <w:sz w:val="22"/>
          <w:szCs w:val="22"/>
        </w:rPr>
        <w:t>;</w:t>
      </w:r>
    </w:p>
    <w:p w:rsidR="003B6A05" w:rsidRPr="00036CF4" w:rsidRDefault="003B6A05" w:rsidP="003B6A05">
      <w:pPr>
        <w:pStyle w:val="ListParagraph"/>
        <w:numPr>
          <w:ilvl w:val="0"/>
          <w:numId w:val="3"/>
        </w:numPr>
        <w:spacing w:after="120" w:line="240" w:lineRule="auto"/>
        <w:rPr>
          <w:sz w:val="22"/>
          <w:szCs w:val="22"/>
        </w:rPr>
      </w:pPr>
      <w:r w:rsidRPr="00036CF4">
        <w:rPr>
          <w:sz w:val="22"/>
          <w:szCs w:val="22"/>
        </w:rPr>
        <w:t xml:space="preserve">Enhancing quality of </w:t>
      </w:r>
      <w:r w:rsidRPr="00E55C70">
        <w:rPr>
          <w:bCs/>
          <w:sz w:val="22"/>
          <w:szCs w:val="22"/>
        </w:rPr>
        <w:t>life</w:t>
      </w:r>
      <w:r w:rsidRPr="00036CF4">
        <w:rPr>
          <w:sz w:val="22"/>
          <w:szCs w:val="22"/>
        </w:rPr>
        <w:t xml:space="preserve"> for people with long-term conditions</w:t>
      </w:r>
      <w:r>
        <w:rPr>
          <w:sz w:val="22"/>
          <w:szCs w:val="22"/>
        </w:rPr>
        <w:t>;</w:t>
      </w:r>
    </w:p>
    <w:p w:rsidR="003B6A05" w:rsidRPr="00036CF4" w:rsidRDefault="003B6A05" w:rsidP="003B6A05">
      <w:pPr>
        <w:pStyle w:val="ListParagraph"/>
        <w:numPr>
          <w:ilvl w:val="0"/>
          <w:numId w:val="3"/>
        </w:numPr>
        <w:spacing w:after="120" w:line="240" w:lineRule="auto"/>
        <w:rPr>
          <w:sz w:val="22"/>
          <w:szCs w:val="22"/>
        </w:rPr>
      </w:pPr>
      <w:r w:rsidRPr="00036CF4">
        <w:rPr>
          <w:sz w:val="22"/>
          <w:szCs w:val="22"/>
        </w:rPr>
        <w:t>Helping people to recover from episodes of ill health or following injury</w:t>
      </w:r>
      <w:r>
        <w:rPr>
          <w:sz w:val="22"/>
          <w:szCs w:val="22"/>
        </w:rPr>
        <w:t>;</w:t>
      </w:r>
    </w:p>
    <w:p w:rsidR="003B6A05" w:rsidRPr="00036CF4" w:rsidRDefault="003B6A05" w:rsidP="003B6A05">
      <w:pPr>
        <w:pStyle w:val="ListParagraph"/>
        <w:numPr>
          <w:ilvl w:val="0"/>
          <w:numId w:val="3"/>
        </w:numPr>
        <w:spacing w:after="120" w:line="240" w:lineRule="auto"/>
        <w:rPr>
          <w:sz w:val="22"/>
          <w:szCs w:val="22"/>
        </w:rPr>
      </w:pPr>
      <w:r w:rsidRPr="00036CF4">
        <w:rPr>
          <w:sz w:val="22"/>
          <w:szCs w:val="22"/>
        </w:rPr>
        <w:t>Ensuring that people have a positive experience of care</w:t>
      </w:r>
      <w:r>
        <w:rPr>
          <w:sz w:val="22"/>
          <w:szCs w:val="22"/>
        </w:rPr>
        <w:t>;</w:t>
      </w:r>
    </w:p>
    <w:p w:rsidR="003B6A05" w:rsidRPr="00513F9C" w:rsidRDefault="003B6A05" w:rsidP="003B6A05">
      <w:pPr>
        <w:pStyle w:val="ListParagraph"/>
        <w:numPr>
          <w:ilvl w:val="0"/>
          <w:numId w:val="3"/>
        </w:numPr>
        <w:spacing w:after="120" w:line="240" w:lineRule="auto"/>
        <w:contextualSpacing w:val="0"/>
        <w:rPr>
          <w:sz w:val="22"/>
          <w:szCs w:val="22"/>
        </w:rPr>
      </w:pPr>
      <w:r w:rsidRPr="00036CF4">
        <w:rPr>
          <w:sz w:val="22"/>
          <w:szCs w:val="22"/>
        </w:rPr>
        <w:t>Treating and caring for people in a safe environment and protecting them from avoidable harm</w:t>
      </w:r>
      <w:bookmarkEnd w:id="11"/>
      <w:r>
        <w:rPr>
          <w:sz w:val="22"/>
          <w:szCs w:val="22"/>
        </w:rPr>
        <w:t>.</w:t>
      </w:r>
    </w:p>
    <w:p w:rsidR="003B6A05" w:rsidRDefault="003B6A05" w:rsidP="003B6A05">
      <w:pPr>
        <w:pStyle w:val="Pa3"/>
        <w:spacing w:after="100"/>
        <w:rPr>
          <w:rFonts w:cs="HelveticaNeueLT Std Lt"/>
          <w:color w:val="000000"/>
          <w:sz w:val="23"/>
          <w:szCs w:val="23"/>
        </w:rPr>
      </w:pPr>
      <w:r w:rsidRPr="00321C06">
        <w:rPr>
          <w:sz w:val="22"/>
          <w:szCs w:val="22"/>
        </w:rPr>
        <w:t xml:space="preserve">Domain 2 </w:t>
      </w:r>
      <w:r>
        <w:rPr>
          <w:rFonts w:cs="HelveticaNeueLT Std Lt"/>
          <w:color w:val="000000"/>
          <w:sz w:val="23"/>
          <w:szCs w:val="23"/>
        </w:rPr>
        <w:t>identifies enhancing the quality of life for people with dementia as one of the overarching indicators. This indicator is based on diagnosis rates of dementia and the effectiveness of post diagnosis support in sustaining independence and improving quality of life.</w:t>
      </w:r>
    </w:p>
    <w:p w:rsidR="00B65517" w:rsidRPr="00B65517" w:rsidRDefault="00B65517" w:rsidP="00B65517">
      <w:pPr>
        <w:pStyle w:val="Default"/>
      </w:pPr>
    </w:p>
    <w:p w:rsidR="00B65517" w:rsidRPr="00B65517" w:rsidRDefault="00B65517" w:rsidP="00B65517">
      <w:pPr>
        <w:pStyle w:val="Default"/>
        <w:rPr>
          <w:b/>
          <w:sz w:val="22"/>
          <w:szCs w:val="22"/>
        </w:rPr>
      </w:pPr>
      <w:r w:rsidRPr="00B65517">
        <w:rPr>
          <w:b/>
          <w:sz w:val="22"/>
          <w:szCs w:val="22"/>
        </w:rPr>
        <w:t>Public Health Outcomes framework 2013 - 2016</w:t>
      </w:r>
    </w:p>
    <w:p w:rsidR="00B65517" w:rsidRPr="00B65517" w:rsidRDefault="00B65517" w:rsidP="00B65517">
      <w:pPr>
        <w:pStyle w:val="Default"/>
        <w:rPr>
          <w:sz w:val="22"/>
          <w:szCs w:val="22"/>
        </w:rPr>
      </w:pPr>
    </w:p>
    <w:p w:rsidR="00B65517" w:rsidRPr="00B65517" w:rsidRDefault="00B65517" w:rsidP="00B65517">
      <w:pPr>
        <w:pStyle w:val="Default"/>
        <w:rPr>
          <w:sz w:val="22"/>
          <w:szCs w:val="22"/>
        </w:rPr>
      </w:pPr>
      <w:r w:rsidRPr="00B65517">
        <w:rPr>
          <w:sz w:val="22"/>
          <w:szCs w:val="22"/>
        </w:rPr>
        <w:t>The Public Health outcomes framework focuses on 2 high-level outcomes to achieve across the public health system and beyond. These are;</w:t>
      </w:r>
    </w:p>
    <w:p w:rsidR="00B65517" w:rsidRPr="00B65517" w:rsidRDefault="00B65517" w:rsidP="00B65517">
      <w:pPr>
        <w:pStyle w:val="Default"/>
        <w:rPr>
          <w:sz w:val="22"/>
          <w:szCs w:val="22"/>
        </w:rPr>
      </w:pPr>
      <w:r w:rsidRPr="00B65517">
        <w:rPr>
          <w:sz w:val="22"/>
          <w:szCs w:val="22"/>
        </w:rPr>
        <w:t>•</w:t>
      </w:r>
      <w:r w:rsidRPr="00B65517">
        <w:rPr>
          <w:sz w:val="22"/>
          <w:szCs w:val="22"/>
        </w:rPr>
        <w:tab/>
        <w:t>Increased healthy life expectancy</w:t>
      </w:r>
    </w:p>
    <w:p w:rsidR="00B65517" w:rsidRPr="00B65517" w:rsidRDefault="00B65517" w:rsidP="00B65517">
      <w:pPr>
        <w:pStyle w:val="Default"/>
        <w:rPr>
          <w:sz w:val="22"/>
          <w:szCs w:val="22"/>
        </w:rPr>
      </w:pPr>
      <w:r w:rsidRPr="00B65517">
        <w:rPr>
          <w:sz w:val="22"/>
          <w:szCs w:val="22"/>
        </w:rPr>
        <w:t>•</w:t>
      </w:r>
      <w:r w:rsidRPr="00B65517">
        <w:rPr>
          <w:sz w:val="22"/>
          <w:szCs w:val="22"/>
        </w:rPr>
        <w:tab/>
        <w:t>Reduced differences in life expectancy between communities</w:t>
      </w:r>
    </w:p>
    <w:p w:rsidR="00B65517" w:rsidRPr="00B65517" w:rsidRDefault="00B65517" w:rsidP="00B65517">
      <w:pPr>
        <w:pStyle w:val="Default"/>
        <w:rPr>
          <w:sz w:val="22"/>
          <w:szCs w:val="22"/>
        </w:rPr>
      </w:pPr>
    </w:p>
    <w:p w:rsidR="00B65517" w:rsidRPr="00B65517" w:rsidRDefault="00B65517" w:rsidP="00B65517">
      <w:pPr>
        <w:pStyle w:val="Default"/>
        <w:rPr>
          <w:sz w:val="22"/>
          <w:szCs w:val="22"/>
        </w:rPr>
      </w:pPr>
      <w:r w:rsidRPr="00B65517">
        <w:rPr>
          <w:sz w:val="22"/>
          <w:szCs w:val="22"/>
        </w:rPr>
        <w:t>Indicators for this are grouped into 4 domains;</w:t>
      </w:r>
    </w:p>
    <w:p w:rsidR="00B65517" w:rsidRPr="00B65517" w:rsidRDefault="00B65517" w:rsidP="00B65517">
      <w:pPr>
        <w:pStyle w:val="Default"/>
        <w:rPr>
          <w:sz w:val="22"/>
          <w:szCs w:val="22"/>
        </w:rPr>
      </w:pPr>
      <w:r w:rsidRPr="00B65517">
        <w:rPr>
          <w:sz w:val="22"/>
          <w:szCs w:val="22"/>
        </w:rPr>
        <w:t>1.</w:t>
      </w:r>
      <w:r w:rsidRPr="00B65517">
        <w:rPr>
          <w:sz w:val="22"/>
          <w:szCs w:val="22"/>
        </w:rPr>
        <w:tab/>
        <w:t>Improving the wider determinants of health</w:t>
      </w:r>
    </w:p>
    <w:p w:rsidR="00B65517" w:rsidRPr="00B65517" w:rsidRDefault="00B65517" w:rsidP="00B65517">
      <w:pPr>
        <w:pStyle w:val="Default"/>
        <w:rPr>
          <w:sz w:val="22"/>
          <w:szCs w:val="22"/>
        </w:rPr>
      </w:pPr>
      <w:r w:rsidRPr="00B65517">
        <w:rPr>
          <w:sz w:val="22"/>
          <w:szCs w:val="22"/>
        </w:rPr>
        <w:t>2.</w:t>
      </w:r>
      <w:r w:rsidRPr="00B65517">
        <w:rPr>
          <w:sz w:val="22"/>
          <w:szCs w:val="22"/>
        </w:rPr>
        <w:tab/>
        <w:t>Health improvement</w:t>
      </w:r>
    </w:p>
    <w:p w:rsidR="00B65517" w:rsidRPr="00B65517" w:rsidRDefault="00B65517" w:rsidP="00B65517">
      <w:pPr>
        <w:pStyle w:val="Default"/>
        <w:rPr>
          <w:sz w:val="22"/>
          <w:szCs w:val="22"/>
        </w:rPr>
      </w:pPr>
      <w:r w:rsidRPr="00B65517">
        <w:rPr>
          <w:sz w:val="22"/>
          <w:szCs w:val="22"/>
        </w:rPr>
        <w:t>3.</w:t>
      </w:r>
      <w:r w:rsidRPr="00B65517">
        <w:rPr>
          <w:sz w:val="22"/>
          <w:szCs w:val="22"/>
        </w:rPr>
        <w:tab/>
        <w:t>Health protection</w:t>
      </w:r>
    </w:p>
    <w:p w:rsidR="00B65517" w:rsidRPr="00B65517" w:rsidRDefault="00B65517" w:rsidP="00B65517">
      <w:pPr>
        <w:pStyle w:val="Default"/>
        <w:rPr>
          <w:sz w:val="22"/>
          <w:szCs w:val="22"/>
        </w:rPr>
      </w:pPr>
      <w:r w:rsidRPr="00B65517">
        <w:rPr>
          <w:sz w:val="22"/>
          <w:szCs w:val="22"/>
        </w:rPr>
        <w:t>4.</w:t>
      </w:r>
      <w:r w:rsidRPr="00B65517">
        <w:rPr>
          <w:sz w:val="22"/>
          <w:szCs w:val="22"/>
        </w:rPr>
        <w:tab/>
        <w:t>Healthcare public health and preventing premature mortality</w:t>
      </w:r>
    </w:p>
    <w:p w:rsidR="00B65517" w:rsidRPr="00B65517" w:rsidRDefault="00B65517" w:rsidP="00B65517">
      <w:pPr>
        <w:pStyle w:val="Default"/>
        <w:rPr>
          <w:sz w:val="22"/>
          <w:szCs w:val="22"/>
        </w:rPr>
      </w:pPr>
    </w:p>
    <w:p w:rsidR="00B65517" w:rsidRPr="00B65517" w:rsidRDefault="00B65517" w:rsidP="00B65517">
      <w:pPr>
        <w:pStyle w:val="Default"/>
        <w:rPr>
          <w:sz w:val="22"/>
          <w:szCs w:val="22"/>
        </w:rPr>
      </w:pPr>
      <w:r w:rsidRPr="00B65517">
        <w:rPr>
          <w:sz w:val="22"/>
          <w:szCs w:val="22"/>
        </w:rPr>
        <w:t>Indicator 4 includes estimated diagnosis tares for people with dementia.</w:t>
      </w:r>
    </w:p>
    <w:p w:rsidR="003B6A05" w:rsidRPr="00F16524" w:rsidRDefault="003B6A05" w:rsidP="003B6A05">
      <w:pPr>
        <w:pStyle w:val="Default"/>
      </w:pPr>
    </w:p>
    <w:p w:rsidR="003B6A05" w:rsidRPr="00F16524" w:rsidRDefault="003B6A05" w:rsidP="003B6A05">
      <w:pPr>
        <w:pStyle w:val="Default"/>
      </w:pPr>
    </w:p>
    <w:p w:rsidR="003B6A05" w:rsidRDefault="003B6A05" w:rsidP="003B6A05">
      <w:pPr>
        <w:spacing w:after="120" w:line="240" w:lineRule="auto"/>
        <w:rPr>
          <w:sz w:val="22"/>
          <w:szCs w:val="22"/>
        </w:rPr>
      </w:pPr>
      <w:r w:rsidRPr="00036CF4">
        <w:rPr>
          <w:b/>
          <w:sz w:val="22"/>
          <w:szCs w:val="22"/>
        </w:rPr>
        <w:t>Quality and Outcomes Framework</w:t>
      </w:r>
      <w:r w:rsidRPr="00036CF4">
        <w:rPr>
          <w:sz w:val="22"/>
          <w:szCs w:val="22"/>
        </w:rPr>
        <w:t xml:space="preserve"> </w:t>
      </w:r>
      <w:r w:rsidRPr="000D640E">
        <w:rPr>
          <w:b/>
          <w:sz w:val="22"/>
          <w:szCs w:val="22"/>
        </w:rPr>
        <w:t>(QOF)</w:t>
      </w:r>
      <w:r w:rsidRPr="00036CF4" w:rsidDel="002F5DA3">
        <w:rPr>
          <w:sz w:val="22"/>
          <w:szCs w:val="22"/>
        </w:rPr>
        <w:t xml:space="preserve"> </w:t>
      </w:r>
      <w:r w:rsidRPr="00036CF4">
        <w:rPr>
          <w:sz w:val="22"/>
          <w:szCs w:val="22"/>
        </w:rPr>
        <w:t xml:space="preserve"> </w:t>
      </w:r>
    </w:p>
    <w:p w:rsidR="003B6A05" w:rsidRDefault="003B6A05" w:rsidP="003B6A05">
      <w:pPr>
        <w:spacing w:after="120" w:line="240" w:lineRule="auto"/>
        <w:rPr>
          <w:bCs/>
          <w:sz w:val="22"/>
          <w:szCs w:val="22"/>
        </w:rPr>
      </w:pPr>
      <w:r w:rsidRPr="009C610F">
        <w:rPr>
          <w:rStyle w:val="apple-converted-space"/>
          <w:bCs/>
          <w:sz w:val="22"/>
          <w:szCs w:val="22"/>
        </w:rPr>
        <w:t>QOF i</w:t>
      </w:r>
      <w:r w:rsidRPr="009C610F">
        <w:rPr>
          <w:bCs/>
          <w:sz w:val="22"/>
          <w:szCs w:val="22"/>
        </w:rPr>
        <w:t xml:space="preserve">s a voluntary annual reward and incentive programme </w:t>
      </w:r>
      <w:r>
        <w:rPr>
          <w:bCs/>
          <w:sz w:val="22"/>
          <w:szCs w:val="22"/>
        </w:rPr>
        <w:t>for</w:t>
      </w:r>
      <w:r w:rsidRPr="009C610F">
        <w:rPr>
          <w:bCs/>
          <w:sz w:val="22"/>
          <w:szCs w:val="22"/>
        </w:rPr>
        <w:t xml:space="preserve"> GP practice</w:t>
      </w:r>
      <w:r>
        <w:rPr>
          <w:bCs/>
          <w:sz w:val="22"/>
          <w:szCs w:val="22"/>
        </w:rPr>
        <w:t>s</w:t>
      </w:r>
      <w:r w:rsidRPr="009C610F">
        <w:rPr>
          <w:bCs/>
          <w:sz w:val="22"/>
          <w:szCs w:val="22"/>
        </w:rPr>
        <w:t xml:space="preserve">. It is based on a variety of measures to monitor </w:t>
      </w:r>
      <w:r w:rsidRPr="009C610F">
        <w:rPr>
          <w:sz w:val="22"/>
          <w:szCs w:val="22"/>
        </w:rPr>
        <w:t>quality and productivity of GP service</w:t>
      </w:r>
      <w:r w:rsidRPr="009C610F">
        <w:rPr>
          <w:bCs/>
          <w:sz w:val="22"/>
          <w:szCs w:val="22"/>
        </w:rPr>
        <w:t>s</w:t>
      </w:r>
      <w:r>
        <w:rPr>
          <w:bCs/>
          <w:sz w:val="22"/>
          <w:szCs w:val="22"/>
        </w:rPr>
        <w:t xml:space="preserve"> The QOF Dementia indicators include; </w:t>
      </w:r>
    </w:p>
    <w:p w:rsidR="003B6A05" w:rsidRPr="001369A9" w:rsidRDefault="003B6A05" w:rsidP="003B6A05">
      <w:pPr>
        <w:pStyle w:val="ListParagraph"/>
        <w:numPr>
          <w:ilvl w:val="0"/>
          <w:numId w:val="2"/>
        </w:numPr>
        <w:spacing w:after="120" w:line="240" w:lineRule="auto"/>
        <w:rPr>
          <w:bCs/>
          <w:sz w:val="22"/>
          <w:szCs w:val="22"/>
        </w:rPr>
      </w:pPr>
      <w:r w:rsidRPr="001369A9">
        <w:rPr>
          <w:bCs/>
          <w:sz w:val="22"/>
          <w:szCs w:val="22"/>
        </w:rPr>
        <w:t>% of patients diagnosed with dementia whose care plan has been reviewed in a face to face review in the preceding 12 months</w:t>
      </w:r>
      <w:r>
        <w:rPr>
          <w:bCs/>
          <w:sz w:val="22"/>
          <w:szCs w:val="22"/>
        </w:rPr>
        <w:t>;</w:t>
      </w:r>
    </w:p>
    <w:p w:rsidR="003B6A05" w:rsidRPr="001369A9" w:rsidRDefault="003B6A05" w:rsidP="003B6A05">
      <w:pPr>
        <w:pStyle w:val="ListParagraph"/>
        <w:numPr>
          <w:ilvl w:val="0"/>
          <w:numId w:val="2"/>
        </w:numPr>
        <w:spacing w:after="120" w:line="240" w:lineRule="auto"/>
        <w:rPr>
          <w:bCs/>
          <w:sz w:val="22"/>
          <w:szCs w:val="22"/>
        </w:rPr>
      </w:pPr>
      <w:r w:rsidRPr="001369A9">
        <w:rPr>
          <w:bCs/>
          <w:sz w:val="22"/>
          <w:szCs w:val="22"/>
        </w:rPr>
        <w:t>% of new diagnosis</w:t>
      </w:r>
      <w:r>
        <w:rPr>
          <w:bCs/>
          <w:sz w:val="22"/>
          <w:szCs w:val="22"/>
        </w:rPr>
        <w:t xml:space="preserve">’ </w:t>
      </w:r>
      <w:r w:rsidRPr="001369A9">
        <w:rPr>
          <w:bCs/>
          <w:sz w:val="22"/>
          <w:szCs w:val="22"/>
        </w:rPr>
        <w:t>recorded</w:t>
      </w:r>
      <w:r>
        <w:rPr>
          <w:bCs/>
          <w:sz w:val="22"/>
          <w:szCs w:val="22"/>
        </w:rPr>
        <w:t>;</w:t>
      </w:r>
    </w:p>
    <w:p w:rsidR="003B6A05" w:rsidRPr="001369A9" w:rsidRDefault="003B6A05" w:rsidP="003B6A05">
      <w:pPr>
        <w:pStyle w:val="ListParagraph"/>
        <w:numPr>
          <w:ilvl w:val="0"/>
          <w:numId w:val="2"/>
        </w:numPr>
        <w:spacing w:after="120" w:line="240" w:lineRule="auto"/>
        <w:rPr>
          <w:sz w:val="22"/>
          <w:szCs w:val="22"/>
        </w:rPr>
      </w:pPr>
      <w:r w:rsidRPr="001369A9">
        <w:rPr>
          <w:bCs/>
          <w:sz w:val="22"/>
          <w:szCs w:val="22"/>
        </w:rPr>
        <w:lastRenderedPageBreak/>
        <w:t>% of patients di</w:t>
      </w:r>
      <w:r>
        <w:rPr>
          <w:bCs/>
          <w:sz w:val="22"/>
          <w:szCs w:val="22"/>
        </w:rPr>
        <w:t>agnosed with dementia who have</w:t>
      </w:r>
      <w:r w:rsidRPr="001369A9">
        <w:rPr>
          <w:bCs/>
          <w:sz w:val="22"/>
          <w:szCs w:val="22"/>
        </w:rPr>
        <w:t xml:space="preserve"> re</w:t>
      </w:r>
      <w:r>
        <w:rPr>
          <w:bCs/>
          <w:sz w:val="22"/>
          <w:szCs w:val="22"/>
        </w:rPr>
        <w:t>c</w:t>
      </w:r>
      <w:r w:rsidRPr="001369A9">
        <w:rPr>
          <w:bCs/>
          <w:sz w:val="22"/>
          <w:szCs w:val="22"/>
        </w:rPr>
        <w:t>ord</w:t>
      </w:r>
      <w:r>
        <w:rPr>
          <w:bCs/>
          <w:sz w:val="22"/>
          <w:szCs w:val="22"/>
        </w:rPr>
        <w:t>ed</w:t>
      </w:r>
      <w:r w:rsidRPr="001369A9">
        <w:rPr>
          <w:bCs/>
          <w:sz w:val="22"/>
          <w:szCs w:val="22"/>
        </w:rPr>
        <w:t xml:space="preserve"> attendance at a memory assessment service</w:t>
      </w:r>
      <w:r>
        <w:rPr>
          <w:bCs/>
          <w:sz w:val="22"/>
          <w:szCs w:val="22"/>
        </w:rPr>
        <w:t>.</w:t>
      </w:r>
    </w:p>
    <w:p w:rsidR="003B6A05" w:rsidRDefault="003B6A05" w:rsidP="003B6A05">
      <w:pPr>
        <w:spacing w:after="120" w:line="240" w:lineRule="auto"/>
        <w:rPr>
          <w:b/>
          <w:sz w:val="22"/>
          <w:szCs w:val="22"/>
        </w:rPr>
      </w:pPr>
      <w:r>
        <w:rPr>
          <w:b/>
          <w:sz w:val="22"/>
          <w:szCs w:val="22"/>
        </w:rPr>
        <w:t>National Institute for Health and Care Excellence (NICE) Dementia Guidelines</w:t>
      </w:r>
    </w:p>
    <w:p w:rsidR="003B6A05" w:rsidRDefault="003B6A05" w:rsidP="003B6A05">
      <w:pPr>
        <w:rPr>
          <w:sz w:val="22"/>
          <w:szCs w:val="22"/>
        </w:rPr>
      </w:pPr>
      <w:r w:rsidRPr="00D52D86">
        <w:rPr>
          <w:sz w:val="22"/>
          <w:szCs w:val="22"/>
        </w:rPr>
        <w:t xml:space="preserve">First published in 2006, but regularly updated, this evidence based </w:t>
      </w:r>
      <w:r>
        <w:rPr>
          <w:sz w:val="22"/>
          <w:szCs w:val="22"/>
        </w:rPr>
        <w:t>guidance</w:t>
      </w:r>
      <w:r w:rsidRPr="00D52D86">
        <w:rPr>
          <w:sz w:val="22"/>
          <w:szCs w:val="22"/>
        </w:rPr>
        <w:t xml:space="preserve"> make recommendations for the identification, treatment and care of people with dementia and carers</w:t>
      </w:r>
      <w:r>
        <w:rPr>
          <w:sz w:val="22"/>
          <w:szCs w:val="22"/>
        </w:rPr>
        <w:t xml:space="preserve"> in</w:t>
      </w:r>
      <w:r w:rsidRPr="00D52D86">
        <w:rPr>
          <w:sz w:val="22"/>
          <w:szCs w:val="22"/>
        </w:rPr>
        <w:t xml:space="preserve"> primary and secondary health</w:t>
      </w:r>
      <w:r>
        <w:rPr>
          <w:sz w:val="22"/>
          <w:szCs w:val="22"/>
        </w:rPr>
        <w:t xml:space="preserve"> </w:t>
      </w:r>
      <w:r w:rsidRPr="00D52D86">
        <w:rPr>
          <w:sz w:val="22"/>
          <w:szCs w:val="22"/>
        </w:rPr>
        <w:t>and social care</w:t>
      </w:r>
      <w:r>
        <w:rPr>
          <w:sz w:val="22"/>
          <w:szCs w:val="22"/>
        </w:rPr>
        <w:t xml:space="preserve"> settings</w:t>
      </w:r>
      <w:r w:rsidRPr="00D52D86">
        <w:rPr>
          <w:sz w:val="22"/>
          <w:szCs w:val="22"/>
        </w:rPr>
        <w:t xml:space="preserve">. </w:t>
      </w:r>
      <w:r>
        <w:rPr>
          <w:sz w:val="22"/>
          <w:szCs w:val="22"/>
        </w:rPr>
        <w:t xml:space="preserve">The </w:t>
      </w:r>
      <w:r w:rsidRPr="00D52D86">
        <w:rPr>
          <w:sz w:val="22"/>
          <w:szCs w:val="22"/>
        </w:rPr>
        <w:t>guidelines encourage integrated working</w:t>
      </w:r>
      <w:r>
        <w:rPr>
          <w:sz w:val="22"/>
          <w:szCs w:val="22"/>
        </w:rPr>
        <w:t xml:space="preserve"> between agencies,</w:t>
      </w:r>
      <w:r w:rsidRPr="00D52D86">
        <w:rPr>
          <w:sz w:val="22"/>
          <w:szCs w:val="22"/>
        </w:rPr>
        <w:t xml:space="preserve"> wherever appropriate</w:t>
      </w:r>
      <w:r>
        <w:rPr>
          <w:sz w:val="22"/>
          <w:szCs w:val="22"/>
        </w:rPr>
        <w:t>,</w:t>
      </w:r>
      <w:r w:rsidRPr="00D52D86">
        <w:rPr>
          <w:sz w:val="22"/>
          <w:szCs w:val="22"/>
        </w:rPr>
        <w:t xml:space="preserve"> to maximise the benefit for people with dementia and their carers.</w:t>
      </w:r>
    </w:p>
    <w:p w:rsidR="003B6A05" w:rsidRPr="004D7BBF" w:rsidRDefault="003B6A05" w:rsidP="003B6A05">
      <w:pPr>
        <w:spacing w:after="120" w:line="240" w:lineRule="auto"/>
        <w:rPr>
          <w:sz w:val="22"/>
          <w:szCs w:val="22"/>
        </w:rPr>
      </w:pPr>
      <w:r w:rsidRPr="004D7BBF">
        <w:rPr>
          <w:sz w:val="22"/>
          <w:szCs w:val="22"/>
        </w:rPr>
        <w:t>Clearly performance indicators</w:t>
      </w:r>
      <w:r>
        <w:rPr>
          <w:sz w:val="22"/>
          <w:szCs w:val="22"/>
        </w:rPr>
        <w:t>, standards</w:t>
      </w:r>
      <w:r w:rsidRPr="004D7BBF">
        <w:rPr>
          <w:sz w:val="22"/>
          <w:szCs w:val="22"/>
        </w:rPr>
        <w:t xml:space="preserve"> and incentive schemes</w:t>
      </w:r>
      <w:r>
        <w:rPr>
          <w:sz w:val="22"/>
          <w:szCs w:val="22"/>
        </w:rPr>
        <w:t xml:space="preserve"> on a national level</w:t>
      </w:r>
      <w:r w:rsidRPr="004D7BBF">
        <w:rPr>
          <w:sz w:val="22"/>
          <w:szCs w:val="22"/>
        </w:rPr>
        <w:t xml:space="preserve"> within health are going to help contribute to the achievement of the commissioning intentions of this strategy, particularly around increasing timely diag</w:t>
      </w:r>
      <w:r>
        <w:rPr>
          <w:sz w:val="22"/>
          <w:szCs w:val="22"/>
        </w:rPr>
        <w:t>nosis’ and appropriate post diagnosis</w:t>
      </w:r>
      <w:r w:rsidRPr="004D7BBF">
        <w:rPr>
          <w:sz w:val="22"/>
          <w:szCs w:val="22"/>
        </w:rPr>
        <w:t xml:space="preserve"> support.</w:t>
      </w:r>
    </w:p>
    <w:p w:rsidR="003B6A05" w:rsidRDefault="003B6A05" w:rsidP="003B6A05">
      <w:pPr>
        <w:rPr>
          <w:sz w:val="22"/>
          <w:szCs w:val="22"/>
        </w:rPr>
      </w:pPr>
    </w:p>
    <w:p w:rsidR="00584430" w:rsidRDefault="00584430"/>
    <w:sectPr w:rsidR="0058443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A05" w:rsidRDefault="003B6A05" w:rsidP="003B6A05">
      <w:pPr>
        <w:spacing w:after="0" w:line="240" w:lineRule="auto"/>
      </w:pPr>
      <w:r>
        <w:separator/>
      </w:r>
    </w:p>
  </w:endnote>
  <w:endnote w:type="continuationSeparator" w:id="0">
    <w:p w:rsidR="003B6A05" w:rsidRDefault="003B6A05" w:rsidP="003B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94741"/>
      <w:docPartObj>
        <w:docPartGallery w:val="Page Numbers (Bottom of Page)"/>
        <w:docPartUnique/>
      </w:docPartObj>
    </w:sdtPr>
    <w:sdtEndPr>
      <w:rPr>
        <w:noProof/>
      </w:rPr>
    </w:sdtEndPr>
    <w:sdtContent>
      <w:p w:rsidR="00BD02E0" w:rsidRDefault="00BD02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D02E0" w:rsidRDefault="00BD0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A05" w:rsidRDefault="003B6A05" w:rsidP="003B6A05">
      <w:pPr>
        <w:spacing w:after="0" w:line="240" w:lineRule="auto"/>
      </w:pPr>
      <w:r>
        <w:separator/>
      </w:r>
    </w:p>
  </w:footnote>
  <w:footnote w:type="continuationSeparator" w:id="0">
    <w:p w:rsidR="003B6A05" w:rsidRDefault="003B6A05" w:rsidP="003B6A05">
      <w:pPr>
        <w:spacing w:after="0" w:line="240" w:lineRule="auto"/>
      </w:pPr>
      <w:r>
        <w:continuationSeparator/>
      </w:r>
    </w:p>
  </w:footnote>
  <w:footnote w:id="1">
    <w:p w:rsidR="003B6A05" w:rsidRPr="008228FA" w:rsidRDefault="003B6A05" w:rsidP="003B6A05">
      <w:pPr>
        <w:pStyle w:val="CommentText"/>
        <w:rPr>
          <w:sz w:val="18"/>
          <w:szCs w:val="18"/>
        </w:rPr>
      </w:pPr>
      <w:r w:rsidRPr="008228FA">
        <w:rPr>
          <w:rStyle w:val="FootnoteReference"/>
          <w:sz w:val="18"/>
          <w:szCs w:val="18"/>
        </w:rPr>
        <w:footnoteRef/>
      </w:r>
      <w:r w:rsidRPr="008228FA">
        <w:rPr>
          <w:sz w:val="18"/>
          <w:szCs w:val="18"/>
        </w:rPr>
        <w:t xml:space="preserve"> Department of Health, Prime Ministers Challenge on Dementia 2012</w:t>
      </w:r>
    </w:p>
    <w:p w:rsidR="003B6A05" w:rsidRPr="008228FA" w:rsidRDefault="003B6A05" w:rsidP="003B6A05">
      <w:pPr>
        <w:pStyle w:val="FootnoteText"/>
        <w:rPr>
          <w:sz w:val="18"/>
          <w:szCs w:val="18"/>
        </w:rPr>
      </w:pPr>
    </w:p>
  </w:footnote>
  <w:footnote w:id="2">
    <w:p w:rsidR="003B6A05" w:rsidRPr="008228FA" w:rsidRDefault="003B6A05" w:rsidP="003B6A05">
      <w:pPr>
        <w:pStyle w:val="CommentText"/>
        <w:rPr>
          <w:sz w:val="18"/>
          <w:szCs w:val="18"/>
        </w:rPr>
      </w:pPr>
      <w:r w:rsidRPr="008228FA">
        <w:rPr>
          <w:rStyle w:val="FootnoteReference"/>
          <w:sz w:val="18"/>
          <w:szCs w:val="18"/>
        </w:rPr>
        <w:footnoteRef/>
      </w:r>
      <w:r w:rsidRPr="008228FA">
        <w:rPr>
          <w:sz w:val="18"/>
          <w:szCs w:val="18"/>
        </w:rPr>
        <w:t xml:space="preserve"> Department of Health, Prime Minister Challenge on Dementia 2020</w:t>
      </w:r>
    </w:p>
    <w:p w:rsidR="003B6A05" w:rsidRDefault="003B6A05" w:rsidP="003B6A05">
      <w:pPr>
        <w:pStyle w:val="FootnoteText"/>
      </w:pPr>
    </w:p>
  </w:footnote>
  <w:footnote w:id="3">
    <w:p w:rsidR="003B6A05" w:rsidRDefault="003B6A05" w:rsidP="003B6A05">
      <w:pPr>
        <w:pStyle w:val="FootnoteText"/>
      </w:pPr>
      <w:r>
        <w:rPr>
          <w:rStyle w:val="FootnoteReference"/>
        </w:rPr>
        <w:footnoteRef/>
      </w:r>
      <w:r>
        <w:t xml:space="preserve"> </w:t>
      </w:r>
      <w:proofErr w:type="gramStart"/>
      <w:r w:rsidRPr="008228FA">
        <w:rPr>
          <w:rFonts w:ascii="Arial" w:hAnsi="Arial" w:cs="Arial"/>
          <w:sz w:val="18"/>
          <w:szCs w:val="18"/>
        </w:rPr>
        <w:t>Alzheimer's Society's, Dementia 2015</w:t>
      </w:r>
      <w:r>
        <w:rPr>
          <w:sz w:val="22"/>
          <w:szCs w:val="2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6C33"/>
    <w:multiLevelType w:val="hybridMultilevel"/>
    <w:tmpl w:val="7DD27A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A8B1C0B"/>
    <w:multiLevelType w:val="hybridMultilevel"/>
    <w:tmpl w:val="67AC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EA4C43"/>
    <w:multiLevelType w:val="multilevel"/>
    <w:tmpl w:val="7D18A8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05"/>
    <w:rsid w:val="003B6A05"/>
    <w:rsid w:val="00584430"/>
    <w:rsid w:val="005D0A48"/>
    <w:rsid w:val="00B65517"/>
    <w:rsid w:val="00BD0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05"/>
  </w:style>
  <w:style w:type="paragraph" w:styleId="Heading1">
    <w:name w:val="heading 1"/>
    <w:basedOn w:val="Normal"/>
    <w:next w:val="Normal"/>
    <w:link w:val="Heading1Char"/>
    <w:uiPriority w:val="9"/>
    <w:qFormat/>
    <w:rsid w:val="003B6A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A0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6A05"/>
    <w:pPr>
      <w:ind w:left="720"/>
      <w:contextualSpacing/>
    </w:pPr>
  </w:style>
  <w:style w:type="paragraph" w:styleId="FootnoteText">
    <w:name w:val="footnote text"/>
    <w:basedOn w:val="Normal"/>
    <w:link w:val="FootnoteTextChar"/>
    <w:rsid w:val="003B6A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B6A05"/>
    <w:rPr>
      <w:rFonts w:ascii="Times New Roman" w:eastAsia="Times New Roman" w:hAnsi="Times New Roman" w:cs="Times New Roman"/>
      <w:sz w:val="20"/>
      <w:szCs w:val="20"/>
    </w:rPr>
  </w:style>
  <w:style w:type="character" w:styleId="FootnoteReference">
    <w:name w:val="footnote reference"/>
    <w:rsid w:val="003B6A05"/>
    <w:rPr>
      <w:vertAlign w:val="superscript"/>
    </w:rPr>
  </w:style>
  <w:style w:type="character" w:styleId="Hyperlink">
    <w:name w:val="Hyperlink"/>
    <w:basedOn w:val="DefaultParagraphFont"/>
    <w:uiPriority w:val="99"/>
    <w:unhideWhenUsed/>
    <w:rsid w:val="003B6A05"/>
    <w:rPr>
      <w:color w:val="0000FF" w:themeColor="hyperlink"/>
      <w:u w:val="single"/>
    </w:rPr>
  </w:style>
  <w:style w:type="character" w:styleId="CommentReference">
    <w:name w:val="annotation reference"/>
    <w:basedOn w:val="DefaultParagraphFont"/>
    <w:uiPriority w:val="99"/>
    <w:semiHidden/>
    <w:unhideWhenUsed/>
    <w:rsid w:val="003B6A05"/>
    <w:rPr>
      <w:sz w:val="16"/>
      <w:szCs w:val="16"/>
    </w:rPr>
  </w:style>
  <w:style w:type="paragraph" w:styleId="CommentText">
    <w:name w:val="annotation text"/>
    <w:basedOn w:val="Normal"/>
    <w:link w:val="CommentTextChar"/>
    <w:uiPriority w:val="99"/>
    <w:unhideWhenUsed/>
    <w:rsid w:val="003B6A05"/>
    <w:pPr>
      <w:spacing w:line="240" w:lineRule="auto"/>
    </w:pPr>
    <w:rPr>
      <w:sz w:val="20"/>
      <w:szCs w:val="20"/>
    </w:rPr>
  </w:style>
  <w:style w:type="character" w:customStyle="1" w:styleId="CommentTextChar">
    <w:name w:val="Comment Text Char"/>
    <w:basedOn w:val="DefaultParagraphFont"/>
    <w:link w:val="CommentText"/>
    <w:uiPriority w:val="99"/>
    <w:rsid w:val="003B6A05"/>
    <w:rPr>
      <w:sz w:val="20"/>
      <w:szCs w:val="20"/>
    </w:rPr>
  </w:style>
  <w:style w:type="paragraph" w:styleId="NormalWeb">
    <w:name w:val="Normal (Web)"/>
    <w:basedOn w:val="Normal"/>
    <w:uiPriority w:val="99"/>
    <w:unhideWhenUsed/>
    <w:rsid w:val="003B6A05"/>
    <w:pPr>
      <w:spacing w:before="288" w:after="288" w:line="336" w:lineRule="atLeast"/>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B6A05"/>
  </w:style>
  <w:style w:type="paragraph" w:customStyle="1" w:styleId="Default">
    <w:name w:val="Default"/>
    <w:rsid w:val="003B6A05"/>
    <w:pPr>
      <w:autoSpaceDE w:val="0"/>
      <w:autoSpaceDN w:val="0"/>
      <w:adjustRightInd w:val="0"/>
      <w:spacing w:after="0" w:line="240" w:lineRule="auto"/>
    </w:pPr>
    <w:rPr>
      <w:color w:val="000000"/>
    </w:rPr>
  </w:style>
  <w:style w:type="character" w:customStyle="1" w:styleId="A7">
    <w:name w:val="A7"/>
    <w:uiPriority w:val="99"/>
    <w:rsid w:val="003B6A05"/>
    <w:rPr>
      <w:color w:val="000000"/>
      <w:sz w:val="22"/>
      <w:szCs w:val="22"/>
    </w:rPr>
  </w:style>
  <w:style w:type="paragraph" w:customStyle="1" w:styleId="Pa3">
    <w:name w:val="Pa3"/>
    <w:basedOn w:val="Default"/>
    <w:next w:val="Default"/>
    <w:uiPriority w:val="99"/>
    <w:rsid w:val="003B6A05"/>
    <w:pPr>
      <w:spacing w:line="241" w:lineRule="atLeast"/>
    </w:pPr>
    <w:rPr>
      <w:rFonts w:ascii="HelveticaNeueLT Std Lt" w:hAnsi="HelveticaNeueLT Std Lt"/>
      <w:color w:val="auto"/>
    </w:rPr>
  </w:style>
  <w:style w:type="paragraph" w:styleId="BalloonText">
    <w:name w:val="Balloon Text"/>
    <w:basedOn w:val="Normal"/>
    <w:link w:val="BalloonTextChar"/>
    <w:uiPriority w:val="99"/>
    <w:semiHidden/>
    <w:unhideWhenUsed/>
    <w:rsid w:val="003B6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A05"/>
    <w:rPr>
      <w:rFonts w:ascii="Tahoma" w:hAnsi="Tahoma" w:cs="Tahoma"/>
      <w:sz w:val="16"/>
      <w:szCs w:val="16"/>
    </w:rPr>
  </w:style>
  <w:style w:type="paragraph" w:styleId="Header">
    <w:name w:val="header"/>
    <w:basedOn w:val="Normal"/>
    <w:link w:val="HeaderChar"/>
    <w:uiPriority w:val="99"/>
    <w:unhideWhenUsed/>
    <w:rsid w:val="00BD0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2E0"/>
  </w:style>
  <w:style w:type="paragraph" w:styleId="Footer">
    <w:name w:val="footer"/>
    <w:basedOn w:val="Normal"/>
    <w:link w:val="FooterChar"/>
    <w:uiPriority w:val="99"/>
    <w:unhideWhenUsed/>
    <w:rsid w:val="00BD0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A05"/>
  </w:style>
  <w:style w:type="paragraph" w:styleId="Heading1">
    <w:name w:val="heading 1"/>
    <w:basedOn w:val="Normal"/>
    <w:next w:val="Normal"/>
    <w:link w:val="Heading1Char"/>
    <w:uiPriority w:val="9"/>
    <w:qFormat/>
    <w:rsid w:val="003B6A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A0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6A05"/>
    <w:pPr>
      <w:ind w:left="720"/>
      <w:contextualSpacing/>
    </w:pPr>
  </w:style>
  <w:style w:type="paragraph" w:styleId="FootnoteText">
    <w:name w:val="footnote text"/>
    <w:basedOn w:val="Normal"/>
    <w:link w:val="FootnoteTextChar"/>
    <w:rsid w:val="003B6A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B6A05"/>
    <w:rPr>
      <w:rFonts w:ascii="Times New Roman" w:eastAsia="Times New Roman" w:hAnsi="Times New Roman" w:cs="Times New Roman"/>
      <w:sz w:val="20"/>
      <w:szCs w:val="20"/>
    </w:rPr>
  </w:style>
  <w:style w:type="character" w:styleId="FootnoteReference">
    <w:name w:val="footnote reference"/>
    <w:rsid w:val="003B6A05"/>
    <w:rPr>
      <w:vertAlign w:val="superscript"/>
    </w:rPr>
  </w:style>
  <w:style w:type="character" w:styleId="Hyperlink">
    <w:name w:val="Hyperlink"/>
    <w:basedOn w:val="DefaultParagraphFont"/>
    <w:uiPriority w:val="99"/>
    <w:unhideWhenUsed/>
    <w:rsid w:val="003B6A05"/>
    <w:rPr>
      <w:color w:val="0000FF" w:themeColor="hyperlink"/>
      <w:u w:val="single"/>
    </w:rPr>
  </w:style>
  <w:style w:type="character" w:styleId="CommentReference">
    <w:name w:val="annotation reference"/>
    <w:basedOn w:val="DefaultParagraphFont"/>
    <w:uiPriority w:val="99"/>
    <w:semiHidden/>
    <w:unhideWhenUsed/>
    <w:rsid w:val="003B6A05"/>
    <w:rPr>
      <w:sz w:val="16"/>
      <w:szCs w:val="16"/>
    </w:rPr>
  </w:style>
  <w:style w:type="paragraph" w:styleId="CommentText">
    <w:name w:val="annotation text"/>
    <w:basedOn w:val="Normal"/>
    <w:link w:val="CommentTextChar"/>
    <w:uiPriority w:val="99"/>
    <w:unhideWhenUsed/>
    <w:rsid w:val="003B6A05"/>
    <w:pPr>
      <w:spacing w:line="240" w:lineRule="auto"/>
    </w:pPr>
    <w:rPr>
      <w:sz w:val="20"/>
      <w:szCs w:val="20"/>
    </w:rPr>
  </w:style>
  <w:style w:type="character" w:customStyle="1" w:styleId="CommentTextChar">
    <w:name w:val="Comment Text Char"/>
    <w:basedOn w:val="DefaultParagraphFont"/>
    <w:link w:val="CommentText"/>
    <w:uiPriority w:val="99"/>
    <w:rsid w:val="003B6A05"/>
    <w:rPr>
      <w:sz w:val="20"/>
      <w:szCs w:val="20"/>
    </w:rPr>
  </w:style>
  <w:style w:type="paragraph" w:styleId="NormalWeb">
    <w:name w:val="Normal (Web)"/>
    <w:basedOn w:val="Normal"/>
    <w:uiPriority w:val="99"/>
    <w:unhideWhenUsed/>
    <w:rsid w:val="003B6A05"/>
    <w:pPr>
      <w:spacing w:before="288" w:after="288" w:line="336" w:lineRule="atLeast"/>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B6A05"/>
  </w:style>
  <w:style w:type="paragraph" w:customStyle="1" w:styleId="Default">
    <w:name w:val="Default"/>
    <w:rsid w:val="003B6A05"/>
    <w:pPr>
      <w:autoSpaceDE w:val="0"/>
      <w:autoSpaceDN w:val="0"/>
      <w:adjustRightInd w:val="0"/>
      <w:spacing w:after="0" w:line="240" w:lineRule="auto"/>
    </w:pPr>
    <w:rPr>
      <w:color w:val="000000"/>
    </w:rPr>
  </w:style>
  <w:style w:type="character" w:customStyle="1" w:styleId="A7">
    <w:name w:val="A7"/>
    <w:uiPriority w:val="99"/>
    <w:rsid w:val="003B6A05"/>
    <w:rPr>
      <w:color w:val="000000"/>
      <w:sz w:val="22"/>
      <w:szCs w:val="22"/>
    </w:rPr>
  </w:style>
  <w:style w:type="paragraph" w:customStyle="1" w:styleId="Pa3">
    <w:name w:val="Pa3"/>
    <w:basedOn w:val="Default"/>
    <w:next w:val="Default"/>
    <w:uiPriority w:val="99"/>
    <w:rsid w:val="003B6A05"/>
    <w:pPr>
      <w:spacing w:line="241" w:lineRule="atLeast"/>
    </w:pPr>
    <w:rPr>
      <w:rFonts w:ascii="HelveticaNeueLT Std Lt" w:hAnsi="HelveticaNeueLT Std Lt"/>
      <w:color w:val="auto"/>
    </w:rPr>
  </w:style>
  <w:style w:type="paragraph" w:styleId="BalloonText">
    <w:name w:val="Balloon Text"/>
    <w:basedOn w:val="Normal"/>
    <w:link w:val="BalloonTextChar"/>
    <w:uiPriority w:val="99"/>
    <w:semiHidden/>
    <w:unhideWhenUsed/>
    <w:rsid w:val="003B6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A05"/>
    <w:rPr>
      <w:rFonts w:ascii="Tahoma" w:hAnsi="Tahoma" w:cs="Tahoma"/>
      <w:sz w:val="16"/>
      <w:szCs w:val="16"/>
    </w:rPr>
  </w:style>
  <w:style w:type="paragraph" w:styleId="Header">
    <w:name w:val="header"/>
    <w:basedOn w:val="Normal"/>
    <w:link w:val="HeaderChar"/>
    <w:uiPriority w:val="99"/>
    <w:unhideWhenUsed/>
    <w:rsid w:val="00BD0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2E0"/>
  </w:style>
  <w:style w:type="paragraph" w:styleId="Footer">
    <w:name w:val="footer"/>
    <w:basedOn w:val="Normal"/>
    <w:link w:val="FooterChar"/>
    <w:uiPriority w:val="99"/>
    <w:unhideWhenUsed/>
    <w:rsid w:val="00BD0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customXml" Target="../customXml/item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england.nhs.uk/ourwork/part-rel/transformation-fund/bcf-plan" TargetMode="External"/><Relationship Id="rId19" Type="http://schemas.openxmlformats.org/officeDocument/2006/relationships/customXml" Target="../customXml/item6.xml"/><Relationship Id="rId4" Type="http://schemas.microsoft.com/office/2007/relationships/stylesWithEffects" Target="stylesWithEffects.xml"/><Relationship Id="rId9" Type="http://schemas.openxmlformats.org/officeDocument/2006/relationships/hyperlink" Target="https://www.gov.uk/government/publications/prime-ministers-challenge-on-dementia-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a8a172fa-333d-4df0-a895-c810ab535c9e">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09ed9b32-b682-433c-aca3-19a6d1a698b0"/>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3.xml><?xml version="1.0" encoding="utf-8"?>
<?mso-contentType ?>
<SharedContentType xmlns="Microsoft.SharePoint.Taxonomy.ContentTypeSync" SourceId="368e5df3-cb6d-43a2-bb19-51fc820bbd26" ContentTypeId="0x01010035C89CCD2483A2479FECC59E2E56452D" PreviousValue="false"/>
</file>

<file path=customXml/item4.xml><?xml version="1.0" encoding="utf-8"?>
<ct:contentTypeSchema xmlns:ct="http://schemas.microsoft.com/office/2006/metadata/contentType" xmlns:ma="http://schemas.microsoft.com/office/2006/metadata/properties/metaAttributes" ct:_="" ma:_="" ma:contentTypeName="Corporate" ma:contentTypeID="0x01010035C89CCD2483A2479FECC59E2E56452D00E0735FC41F2ACA4E93D8F13915A53543" ma:contentTypeVersion="24" ma:contentTypeDescription="" ma:contentTypeScope="" ma:versionID="0bbe711a3d5560d3cb2aa5b8b3bd05ac">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cccc384f98754bcb3c3e09b21198ccf9"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readOnly="false"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False</openByDefault>
  <xsnScope>http://uat-cthub</xsnScope>
</customXsn>
</file>

<file path=customXml/item8.xml><?xml version="1.0" encoding="utf-8"?>
<p:properties xmlns:p="http://schemas.microsoft.com/office/2006/metadata/properties" xmlns:xsi="http://www.w3.org/2001/XMLSchema-instance" xmlns:pc="http://schemas.microsoft.com/office/infopath/2007/PartnerControls">
  <documentManagement>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05e63c81-95b9-45a0-a9c9-9bc316784073</TermId>
        </TermInfo>
      </Terms>
    </p638553eefd44050b6b6e45ef74c803c>
    <SetDocumentType xmlns="db58f876-95e0-49c6-91d0-8e7480b07923">Strategy|10bd27dc-469a-49cb-b049-cf28d3bd110c</SetDocumentType>
    <TaxCatchAll xmlns="202bf5da-38b9-4488-a525-8567ad9ffa60">
      <Value>6</Value>
      <Value>364</Value>
      <Value>3</Value>
      <Value>2</Value>
      <Value>1</Value>
    </TaxCatchAll>
    <ReviewersEmail xmlns="db58f876-95e0-49c6-91d0-8e7480b07923">
      <UserInfo>
        <DisplayName/>
        <AccountId xsi:nil="true"/>
        <AccountType/>
      </UserInfo>
    </ReviewersEmail>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2116-05-12T23:00:00+00:00</WCC_x0020_Disposal_x0020_Date>
    <d95c383c9a774e2b9bd7fdb68c5e0fc7 xmlns="db58f876-95e0-49c6-91d0-8e7480b07923">
      <Terms xmlns="http://schemas.microsoft.com/office/infopath/2007/PartnerControls">
        <TermInfo xmlns="http://schemas.microsoft.com/office/infopath/2007/PartnerControls">
          <TermName xmlns="http://schemas.microsoft.com/office/infopath/2007/PartnerControls">Warwickshire</TermName>
          <TermId xmlns="http://schemas.microsoft.com/office/infopath/2007/PartnerControls">ae50136a-0dd2-4024-b418-b2091d7c47d2</TermId>
        </TermInfo>
      </Terms>
    </d95c383c9a774e2b9bd7fdb68c5e0fc7>
    <DocSetName xmlns="db58f876-95e0-49c6-91d0-8e7480b07923" xsi:nil="true"/>
    <Approver_x0028_s_x0029_ xmlns="db58f876-95e0-49c6-91d0-8e7480b07923">
      <UserInfo>
        <DisplayName/>
        <AccountId xsi:nil="true"/>
        <AccountType/>
      </UserInfo>
    </Approver_x0028_s_x0029_>
    <ReviewDate xmlns="db58f876-95e0-49c6-91d0-8e7480b07923" xsi:nil="true"/>
    <eb17d457039448a19415618ca7d78093 xmlns="db58f876-95e0-49c6-91d0-8e7480b07923">
      <Terms xmlns="http://schemas.microsoft.com/office/infopath/2007/PartnerControls"/>
    </eb17d457039448a19415618ca7d78093>
    <kcda1755ffd5425aafc66d6689a5558d xmlns="202bf5da-38b9-4488-a525-8567ad9ffa60">
      <Terms xmlns="http://schemas.microsoft.com/office/infopath/2007/PartnerControls"/>
    </kcda1755ffd5425aafc66d6689a5558d>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10bd27dc-469a-49cb-b049-cf28d3bd110c</TermId>
        </TermInfo>
      </Terms>
    </o59add4030c047c89bd5998caae9662d>
    <kf4ca89d09f0480889ccabff7fc6ee9b xmlns="db58f876-95e0-49c6-91d0-8e7480b07923">
      <Terms xmlns="http://schemas.microsoft.com/office/infopath/2007/PartnerControls">
        <TermInfo xmlns="http://schemas.microsoft.com/office/infopath/2007/PartnerControls">
          <TermName xmlns="http://schemas.microsoft.com/office/infopath/2007/PartnerControls">People Group</TermName>
          <TermId xmlns="http://schemas.microsoft.com/office/infopath/2007/PartnerControls">5dbe5bd4-07d9-40b6-bd58-14c29c8c6225</TermId>
        </TermInfo>
      </Terms>
    </kf4ca89d09f0480889ccabff7fc6ee9b>
    <DocumentStatus xmlns="db58f876-95e0-49c6-91d0-8e7480b07923">Active</DocumentStatus>
    <RetentionStarts xmlns="db58f876-95e0-49c6-91d0-8e7480b07923">2016-05-12T23:00:00+00:00</RetentionStarts>
    <_dlc_DocId xmlns="202bf5da-38b9-4488-a525-8567ad9ffa60">WCCC-990-697</_dlc_DocId>
    <_dlc_DocIdUrl xmlns="202bf5da-38b9-4488-a525-8567ad9ffa60">
      <Url>http://edrm/PG/_layouts/DocIdRedir.aspx?ID=WCCC-990-697</Url>
      <Description>WCCC-990-697</Description>
    </_dlc_DocIdUrl>
    <_dlc_ExpireDateSaved xmlns="http://schemas.microsoft.com/sharepoint/v3" xsi:nil="true"/>
    <_dlc_ExpireDate xmlns="http://schemas.microsoft.com/sharepoint/v3">2116-05-12T23:00:00+00:00</_dlc_ExpireDate>
  </documentManagement>
</p:properties>
</file>

<file path=customXml/itemProps1.xml><?xml version="1.0" encoding="utf-8"?>
<ds:datastoreItem xmlns:ds="http://schemas.openxmlformats.org/officeDocument/2006/customXml" ds:itemID="{9B079857-47EE-4241-94E5-B6B462E81D09}"/>
</file>

<file path=customXml/itemProps2.xml><?xml version="1.0" encoding="utf-8"?>
<ds:datastoreItem xmlns:ds="http://schemas.openxmlformats.org/officeDocument/2006/customXml" ds:itemID="{257E5720-029C-4957-9B2B-A87A7E382590}"/>
</file>

<file path=customXml/itemProps3.xml><?xml version="1.0" encoding="utf-8"?>
<ds:datastoreItem xmlns:ds="http://schemas.openxmlformats.org/officeDocument/2006/customXml" ds:itemID="{199F7474-764F-4514-9E94-AA31C17A407F}"/>
</file>

<file path=customXml/itemProps4.xml><?xml version="1.0" encoding="utf-8"?>
<ds:datastoreItem xmlns:ds="http://schemas.openxmlformats.org/officeDocument/2006/customXml" ds:itemID="{6D05E71B-DF41-4F92-BDC8-19BD93114547}"/>
</file>

<file path=customXml/itemProps5.xml><?xml version="1.0" encoding="utf-8"?>
<ds:datastoreItem xmlns:ds="http://schemas.openxmlformats.org/officeDocument/2006/customXml" ds:itemID="{B33C316C-AA7E-4B61-92D1-0AE3AEEC0CDC}"/>
</file>

<file path=customXml/itemProps6.xml><?xml version="1.0" encoding="utf-8"?>
<ds:datastoreItem xmlns:ds="http://schemas.openxmlformats.org/officeDocument/2006/customXml" ds:itemID="{887E7C24-5D77-43D5-B7E6-2FA853680C68}"/>
</file>

<file path=customXml/itemProps7.xml><?xml version="1.0" encoding="utf-8"?>
<ds:datastoreItem xmlns:ds="http://schemas.openxmlformats.org/officeDocument/2006/customXml" ds:itemID="{372457ED-8AAD-486A-A982-3ABB17B1C0CD}"/>
</file>

<file path=customXml/itemProps8.xml><?xml version="1.0" encoding="utf-8"?>
<ds:datastoreItem xmlns:ds="http://schemas.openxmlformats.org/officeDocument/2006/customXml" ds:itemID="{4848A047-4318-483E-9CCC-A0208F1953F0}"/>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National Context</dc:title>
  <dc:creator>Katherine Herbert</dc:creator>
  <cp:lastModifiedBy>Katherine Herbert</cp:lastModifiedBy>
  <cp:revision>3</cp:revision>
  <dcterms:created xsi:type="dcterms:W3CDTF">2015-12-07T10:01:00Z</dcterms:created>
  <dcterms:modified xsi:type="dcterms:W3CDTF">2016-01-08T09:36:00Z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0x01010035C89CCD2483A2479FECC59E2E56452D00E0735FC41F2ACA4E93D8F13915A53543</vt:lpwstr>
  </property>
  <property fmtid="{D5CDD505-2E9C-101B-9397-08002B2CF9AE}" pid="3" name="_dlc_policyId">
    <vt:lpwstr>0x01010035C89CCD2483A2479FECC59E2E56452D00E53E4C0FE5E82A48A500E89033CFD0E8|-626270482</vt:lpwstr>
  </property>
  <property fmtid="{D5CDD505-2E9C-101B-9397-08002B2CF9AE}" pid="4"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5" name="WCCCoverage">
    <vt:lpwstr>2;#Warwickshire|ae50136a-0dd2-4024-b418-b2091d7c47d2</vt:lpwstr>
  </property>
  <property fmtid="{D5CDD505-2E9C-101B-9397-08002B2CF9AE}" pid="6" name="ProtectiveMarking">
    <vt:lpwstr>1;#Public|05e63c81-95b9-45a0-a9c9-9bc316784073</vt:lpwstr>
  </property>
  <property fmtid="{D5CDD505-2E9C-101B-9397-08002B2CF9AE}" pid="7" name="WCCLanguage">
    <vt:lpwstr>3;#English|f4583307-def8-4647-b7db-2a1d8f1f5719</vt:lpwstr>
  </property>
  <property fmtid="{D5CDD505-2E9C-101B-9397-08002B2CF9AE}" pid="8" name="WCCKeywords">
    <vt:lpwstr/>
  </property>
  <property fmtid="{D5CDD505-2E9C-101B-9397-08002B2CF9AE}" pid="9" name="TeamOwner">
    <vt:lpwstr>364;#People Group|5dbe5bd4-07d9-40b6-bd58-14c29c8c6225</vt:lpwstr>
  </property>
  <property fmtid="{D5CDD505-2E9C-101B-9397-08002B2CF9AE}" pid="10" name="WCCSubject">
    <vt:lpwstr/>
  </property>
  <property fmtid="{D5CDD505-2E9C-101B-9397-08002B2CF9AE}" pid="11" name="DocumentType">
    <vt:lpwstr>6;#Strategy|10bd27dc-469a-49cb-b049-cf28d3bd110c</vt:lpwstr>
  </property>
  <property fmtid="{D5CDD505-2E9C-101B-9397-08002B2CF9AE}" pid="12" name="_dlc_DocIdItemGuid">
    <vt:lpwstr>0ec75486-1dc8-41ed-b54a-31e8303f3eb6</vt:lpwstr>
  </property>
  <property fmtid="{D5CDD505-2E9C-101B-9397-08002B2CF9AE}" pid="13" name="WorkflowChangePath">
    <vt:lpwstr>18567c99-253b-4673-b71d-3e5c3fd7cb26,5;18567c99-253b-4673-b71d-3e5c3fd7cb26,5;18567c99-253b-4673-b71d-3e5c3fd7cb26,6;18567c99-253b-4673-b71d-3e5c3fd7cb26,6;18567c99-253b-4673-b71d-3e5c3fd7cb26,9;18567c99-253b-4673-b71d-3e5c3fd7cb26,9;</vt:lpwstr>
  </property>
</Properties>
</file>